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D026" w14:textId="77777777" w:rsidR="00892136" w:rsidRDefault="00000000">
      <w:pPr>
        <w:jc w:val="center"/>
        <w:rPr>
          <w:rFonts w:ascii="Calibri" w:eastAsia="MS Gothic" w:hAnsi="Calibri" w:cs="Times New Roman"/>
          <w:b/>
          <w:bCs/>
          <w:sz w:val="36"/>
          <w:szCs w:val="36"/>
        </w:rPr>
      </w:pPr>
      <w:r>
        <w:rPr>
          <w:rFonts w:ascii="Calibri" w:eastAsia="MS Gothic" w:hAnsi="Calibri" w:cs="Times New Roman"/>
          <w:b/>
          <w:bCs/>
          <w:sz w:val="36"/>
          <w:szCs w:val="36"/>
        </w:rPr>
        <w:t>Practice Education Assessments &amp; Examinations 2026 -2027</w:t>
      </w:r>
    </w:p>
    <w:p w14:paraId="6A593544" w14:textId="77777777" w:rsidR="00892136" w:rsidRDefault="00892136">
      <w:pPr>
        <w:rPr>
          <w:rFonts w:ascii="Calibri" w:eastAsia="MS Gothic" w:hAnsi="Calibri" w:cs="Times New Roman"/>
          <w:i/>
          <w:iCs/>
          <w:sz w:val="20"/>
          <w:szCs w:val="20"/>
        </w:rPr>
      </w:pPr>
    </w:p>
    <w:tbl>
      <w:tblPr>
        <w:tblW w:w="104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0"/>
        <w:gridCol w:w="3270"/>
        <w:gridCol w:w="1215"/>
      </w:tblGrid>
      <w:tr w:rsidR="00892136" w14:paraId="7475D33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6E61" w14:textId="77777777" w:rsidR="00892136" w:rsidRDefault="00000000">
            <w:pPr>
              <w:spacing w:before="120"/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>Senior Freshman (2</w:t>
            </w: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 xml:space="preserve"> years): Practice Education 1 SLU22008</w:t>
            </w:r>
          </w:p>
          <w:p w14:paraId="4A608908" w14:textId="77777777" w:rsidR="00892136" w:rsidRDefault="00892136">
            <w:pPr>
              <w:rPr>
                <w:rFonts w:ascii="Calibri" w:eastAsia="MS Gothic" w:hAnsi="Calibri" w:cs="Times New Roman"/>
              </w:rPr>
            </w:pPr>
          </w:p>
        </w:tc>
      </w:tr>
      <w:tr w:rsidR="00892136" w14:paraId="7C660BC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DB78" w14:textId="77777777" w:rsidR="00892136" w:rsidRDefault="00000000">
            <w:pPr>
              <w:spacing w:before="120"/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Method of assessment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84CE" w14:textId="77777777" w:rsidR="00892136" w:rsidRDefault="00000000">
            <w:pPr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Timing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9021" w14:textId="77777777" w:rsidR="00892136" w:rsidRDefault="00000000">
            <w:pPr>
              <w:spacing w:before="120" w:line="256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Weighting</w:t>
            </w:r>
          </w:p>
        </w:tc>
      </w:tr>
      <w:tr w:rsidR="00892136" w14:paraId="7EF229AE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415C" w14:textId="77777777" w:rsidR="00892136" w:rsidRDefault="00000000">
            <w:pPr>
              <w:spacing w:before="120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 xml:space="preserve">OSCEs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65BA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Friday MT Teaching Week 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5B6D" w14:textId="77777777" w:rsidR="00892136" w:rsidRDefault="00000000">
            <w:pPr>
              <w:spacing w:before="120"/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100%</w:t>
            </w:r>
          </w:p>
        </w:tc>
      </w:tr>
      <w:tr w:rsidR="00892136" w14:paraId="0375B8D1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E42F" w14:textId="77777777" w:rsidR="00892136" w:rsidRDefault="00000000">
            <w:pPr>
              <w:spacing w:before="120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Placement: Continuous assessment based on NSCCE (Novice Level)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AF2C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Final day of placement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0B7E" w14:textId="77777777" w:rsidR="00892136" w:rsidRDefault="00000000">
            <w:pPr>
              <w:spacing w:before="120"/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P/F</w:t>
            </w:r>
          </w:p>
        </w:tc>
      </w:tr>
      <w:tr w:rsidR="00892136" w14:paraId="7084BE98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EDCF" w14:textId="77777777" w:rsidR="00892136" w:rsidRDefault="00000000">
            <w:pPr>
              <w:spacing w:before="120" w:line="256" w:lineRule="auto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Professional Development Log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0DC4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Friday 12 pm MT Teaching week 12</w:t>
            </w:r>
          </w:p>
          <w:p w14:paraId="3D8403CD" w14:textId="77777777" w:rsidR="00892136" w:rsidRDefault="00892136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305" w14:textId="77777777" w:rsidR="00892136" w:rsidRDefault="00000000">
            <w:pPr>
              <w:spacing w:before="120" w:line="256" w:lineRule="auto"/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P/F</w:t>
            </w:r>
          </w:p>
        </w:tc>
      </w:tr>
    </w:tbl>
    <w:p w14:paraId="2F90CDDF" w14:textId="77777777" w:rsidR="00892136" w:rsidRDefault="00892136">
      <w:pPr>
        <w:rPr>
          <w:rFonts w:ascii="Calibri" w:eastAsia="MS Gothic" w:hAnsi="Calibri" w:cs="Times New Roman"/>
          <w:sz w:val="22"/>
          <w:szCs w:val="22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9"/>
        <w:gridCol w:w="3567"/>
        <w:gridCol w:w="1070"/>
      </w:tblGrid>
      <w:tr w:rsidR="00892136" w14:paraId="4691E9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B934" w14:textId="77777777" w:rsidR="00892136" w:rsidRDefault="00000000">
            <w:pPr>
              <w:spacing w:before="120"/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 xml:space="preserve">Junior </w:t>
            </w:r>
            <w:proofErr w:type="spellStart"/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>Sophistor</w:t>
            </w:r>
            <w:proofErr w:type="spellEnd"/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 xml:space="preserve"> (3</w:t>
            </w: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 xml:space="preserve"> years): Practice Education 2 SLU33009</w:t>
            </w:r>
          </w:p>
          <w:p w14:paraId="0B6BEDE4" w14:textId="77777777" w:rsidR="00892136" w:rsidRDefault="00892136">
            <w:pPr>
              <w:rPr>
                <w:rFonts w:ascii="Calibri" w:eastAsia="MS Gothic" w:hAnsi="Calibri" w:cs="Times New Roman"/>
              </w:rPr>
            </w:pPr>
          </w:p>
        </w:tc>
      </w:tr>
      <w:tr w:rsidR="00892136" w14:paraId="2FA828F6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D449" w14:textId="77777777" w:rsidR="00892136" w:rsidRDefault="00000000">
            <w:pPr>
              <w:spacing w:before="120"/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Method of assessment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DACD" w14:textId="77777777" w:rsidR="00892136" w:rsidRDefault="00000000">
            <w:pPr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Timing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9BA0" w14:textId="77777777" w:rsidR="00892136" w:rsidRDefault="00000000">
            <w:pPr>
              <w:spacing w:before="120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Weighting</w:t>
            </w:r>
          </w:p>
        </w:tc>
      </w:tr>
      <w:tr w:rsidR="00892136" w14:paraId="036AE6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3C0F" w14:textId="77777777" w:rsidR="00892136" w:rsidRDefault="00000000">
            <w:pPr>
              <w:spacing w:before="120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Placement: Continuous assessment based on NSCCE (Transition Level)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EB5C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Final day of placement</w:t>
            </w:r>
          </w:p>
          <w:p w14:paraId="4BA5EF14" w14:textId="77777777" w:rsidR="00892136" w:rsidRDefault="00892136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B71F" w14:textId="77777777" w:rsidR="00892136" w:rsidRDefault="00000000">
            <w:pPr>
              <w:spacing w:before="120" w:line="256" w:lineRule="auto"/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P/F</w:t>
            </w:r>
          </w:p>
        </w:tc>
      </w:tr>
      <w:tr w:rsidR="00892136" w14:paraId="6CEE893F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6B00" w14:textId="77777777" w:rsidR="00892136" w:rsidRDefault="00000000">
            <w:pPr>
              <w:spacing w:before="120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Clinical Exam (‘seen’)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BDEF" w14:textId="77777777" w:rsidR="00892136" w:rsidRDefault="00000000">
            <w:pPr>
              <w:spacing w:line="256" w:lineRule="auto"/>
              <w:jc w:val="center"/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MS Gothic" w:hAnsi="Calibri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MS Gothic" w:hAnsi="Calibri" w:cs="Times New Roman"/>
                <w:sz w:val="20"/>
                <w:szCs w:val="20"/>
              </w:rPr>
              <w:t xml:space="preserve"> Half of placement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58FB" w14:textId="77777777" w:rsidR="00892136" w:rsidRDefault="00000000">
            <w:pPr>
              <w:spacing w:before="120" w:line="256" w:lineRule="auto"/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50%</w:t>
            </w:r>
          </w:p>
        </w:tc>
      </w:tr>
      <w:tr w:rsidR="00892136" w14:paraId="72E189D6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1DAA" w14:textId="77777777" w:rsidR="00892136" w:rsidRDefault="00000000">
            <w:pPr>
              <w:spacing w:before="120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Simulated Case Based Exercise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CC44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HT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0772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50%</w:t>
            </w:r>
          </w:p>
        </w:tc>
      </w:tr>
      <w:tr w:rsidR="00892136" w14:paraId="4413634B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C676" w14:textId="77777777" w:rsidR="00892136" w:rsidRDefault="00000000">
            <w:pPr>
              <w:spacing w:before="120" w:line="256" w:lineRule="auto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Professional Development Log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701E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Friday 12 pm HT Teaching week 12</w:t>
            </w:r>
          </w:p>
          <w:p w14:paraId="27F4DACF" w14:textId="77777777" w:rsidR="00892136" w:rsidRDefault="00892136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FB9B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P/F</w:t>
            </w:r>
          </w:p>
        </w:tc>
      </w:tr>
    </w:tbl>
    <w:p w14:paraId="36D502FF" w14:textId="77777777" w:rsidR="00892136" w:rsidRDefault="00892136">
      <w:pPr>
        <w:rPr>
          <w:rFonts w:ascii="Calibri" w:eastAsia="MS Gothic" w:hAnsi="Calibri" w:cs="Times New Roman"/>
          <w:sz w:val="22"/>
          <w:szCs w:val="22"/>
        </w:rPr>
      </w:pPr>
    </w:p>
    <w:tbl>
      <w:tblPr>
        <w:tblW w:w="105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0"/>
        <w:gridCol w:w="3352"/>
        <w:gridCol w:w="1276"/>
      </w:tblGrid>
      <w:tr w:rsidR="00892136" w14:paraId="175B540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C6CE" w14:textId="77777777" w:rsidR="00892136" w:rsidRDefault="00000000">
            <w:pPr>
              <w:spacing w:before="120"/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>Senior Sophister (4</w:t>
            </w: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 xml:space="preserve"> years): Practice Education 3 SLU44006</w:t>
            </w:r>
          </w:p>
          <w:p w14:paraId="5E37A254" w14:textId="77777777" w:rsidR="00892136" w:rsidRDefault="00892136">
            <w:pPr>
              <w:rPr>
                <w:rFonts w:ascii="Calibri" w:eastAsia="MS Gothic" w:hAnsi="Calibri" w:cs="Times New Roman"/>
                <w:color w:val="000000"/>
                <w:sz w:val="22"/>
                <w:szCs w:val="22"/>
              </w:rPr>
            </w:pPr>
          </w:p>
        </w:tc>
      </w:tr>
      <w:tr w:rsidR="00892136" w14:paraId="44B3269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260D" w14:textId="77777777" w:rsidR="00892136" w:rsidRDefault="00000000">
            <w:pPr>
              <w:spacing w:before="120"/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Method of assessment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7937" w14:textId="77777777" w:rsidR="00892136" w:rsidRDefault="00000000">
            <w:pPr>
              <w:jc w:val="center"/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Timing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3189" w14:textId="77777777" w:rsidR="00892136" w:rsidRDefault="00000000">
            <w:pPr>
              <w:spacing w:before="120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Weighting</w:t>
            </w:r>
          </w:p>
        </w:tc>
      </w:tr>
      <w:tr w:rsidR="00892136" w14:paraId="4AA41B93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562F" w14:textId="77777777" w:rsidR="00892136" w:rsidRDefault="00000000">
            <w:pPr>
              <w:spacing w:before="120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Placement: Continuous assessment based on NSCCE (Transition Level)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0F0F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Final day of placement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7EF4" w14:textId="77777777" w:rsidR="00892136" w:rsidRDefault="00000000">
            <w:pPr>
              <w:spacing w:before="120" w:line="256" w:lineRule="auto"/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P/F</w:t>
            </w:r>
          </w:p>
        </w:tc>
      </w:tr>
      <w:tr w:rsidR="00892136" w14:paraId="521E3FF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B471" w14:textId="77777777" w:rsidR="00892136" w:rsidRDefault="00000000">
            <w:pPr>
              <w:spacing w:before="120" w:line="256" w:lineRule="auto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Simulated Case Based Exercises</w:t>
            </w:r>
          </w:p>
          <w:p w14:paraId="0C9104F5" w14:textId="77777777" w:rsidR="00892136" w:rsidRDefault="00892136">
            <w:pP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DD6F" w14:textId="77777777" w:rsidR="00892136" w:rsidRDefault="00000000">
            <w:pPr>
              <w:spacing w:line="256" w:lineRule="auto"/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Two separate timetabled class tests, each with 50% weighting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A82B" w14:textId="77777777" w:rsidR="00892136" w:rsidRDefault="00000000">
            <w:pPr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892136" w14:paraId="5D130FF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4929" w14:textId="77777777" w:rsidR="00892136" w:rsidRDefault="00000000">
            <w:pPr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Professional Development Log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A6F3" w14:textId="77777777" w:rsidR="00892136" w:rsidRDefault="00000000">
            <w:pPr>
              <w:spacing w:line="256" w:lineRule="auto"/>
              <w:jc w:val="center"/>
              <w:rPr>
                <w:rFonts w:ascii="Calibri" w:eastAsia="MS Gothic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i/>
                <w:iCs/>
                <w:sz w:val="20"/>
                <w:szCs w:val="20"/>
              </w:rPr>
              <w:t>As part of SLU44007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9843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P/F</w:t>
            </w:r>
          </w:p>
        </w:tc>
      </w:tr>
    </w:tbl>
    <w:p w14:paraId="3F585777" w14:textId="77777777" w:rsidR="00892136" w:rsidRDefault="00892136">
      <w:pPr>
        <w:spacing w:before="120"/>
        <w:rPr>
          <w:rFonts w:ascii="Calibri" w:eastAsia="MS Gothic" w:hAnsi="Calibri" w:cs="Times New Roman"/>
          <w:sz w:val="22"/>
          <w:szCs w:val="22"/>
        </w:rPr>
      </w:pPr>
    </w:p>
    <w:tbl>
      <w:tblPr>
        <w:tblW w:w="106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5"/>
        <w:gridCol w:w="3337"/>
        <w:gridCol w:w="1354"/>
      </w:tblGrid>
      <w:tr w:rsidR="00892136" w14:paraId="019BB11C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36D0" w14:textId="77777777" w:rsidR="00892136" w:rsidRDefault="00000000">
            <w:pPr>
              <w:spacing w:before="120"/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>Senior Sophister (4</w:t>
            </w: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MS Gothic" w:hAnsi="Calibri" w:cs="Times New Roman"/>
                <w:b/>
                <w:bCs/>
                <w:color w:val="000000"/>
                <w:sz w:val="22"/>
                <w:szCs w:val="22"/>
              </w:rPr>
              <w:t xml:space="preserve"> years): Practice Education 4 SLU44007</w:t>
            </w:r>
          </w:p>
          <w:p w14:paraId="5DE3A772" w14:textId="77777777" w:rsidR="00892136" w:rsidRDefault="00892136">
            <w:pPr>
              <w:rPr>
                <w:rFonts w:ascii="Calibri" w:eastAsia="MS Gothic" w:hAnsi="Calibri" w:cs="Times New Roman"/>
                <w:color w:val="000000"/>
                <w:sz w:val="22"/>
                <w:szCs w:val="22"/>
              </w:rPr>
            </w:pPr>
          </w:p>
        </w:tc>
      </w:tr>
      <w:tr w:rsidR="00892136" w14:paraId="7365C885" w14:textId="77777777">
        <w:tblPrEx>
          <w:tblCellMar>
            <w:top w:w="0" w:type="dxa"/>
            <w:bottom w:w="0" w:type="dxa"/>
          </w:tblCellMar>
        </w:tblPrEx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39D7" w14:textId="77777777" w:rsidR="00892136" w:rsidRDefault="00000000">
            <w:pPr>
              <w:spacing w:before="120"/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Method of assessment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CF90" w14:textId="77777777" w:rsidR="00892136" w:rsidRDefault="00000000">
            <w:pPr>
              <w:jc w:val="center"/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Timing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A02E" w14:textId="77777777" w:rsidR="00892136" w:rsidRDefault="00000000">
            <w:pPr>
              <w:spacing w:before="120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b/>
                <w:bCs/>
                <w:color w:val="000000"/>
                <w:sz w:val="20"/>
                <w:szCs w:val="20"/>
              </w:rPr>
              <w:t>Weighting</w:t>
            </w:r>
          </w:p>
        </w:tc>
      </w:tr>
      <w:tr w:rsidR="00892136" w14:paraId="6D7FB31E" w14:textId="77777777">
        <w:tblPrEx>
          <w:tblCellMar>
            <w:top w:w="0" w:type="dxa"/>
            <w:bottom w:w="0" w:type="dxa"/>
          </w:tblCellMar>
        </w:tblPrEx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7EEB" w14:textId="77777777" w:rsidR="00892136" w:rsidRDefault="00000000">
            <w:pPr>
              <w:spacing w:before="120"/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Placement: Continuous assessment based on NSCCE (Entry Level)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C6BA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Final day of placement</w:t>
            </w:r>
          </w:p>
          <w:p w14:paraId="6D9BA0BD" w14:textId="77777777" w:rsidR="00892136" w:rsidRDefault="00892136">
            <w:pPr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6455" w14:textId="77777777" w:rsidR="00892136" w:rsidRDefault="00000000">
            <w:pPr>
              <w:spacing w:before="120" w:line="256" w:lineRule="auto"/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P/F</w:t>
            </w:r>
          </w:p>
        </w:tc>
      </w:tr>
      <w:tr w:rsidR="00892136" w14:paraId="3A02BB1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8679" w14:textId="77777777" w:rsidR="00892136" w:rsidRDefault="00000000">
            <w:pP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Clinical Exam (‘unseen’)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C478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Day 16+ on placement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1ABD" w14:textId="77777777" w:rsidR="00892136" w:rsidRDefault="00000000">
            <w:pPr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892136" w14:paraId="018AE45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74D9" w14:textId="77777777" w:rsidR="00892136" w:rsidRDefault="00000000">
            <w:pP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Standardised Patient Competency Examination (SPCE)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617B" w14:textId="77777777" w:rsidR="00892136" w:rsidRDefault="00000000">
            <w:pPr>
              <w:jc w:val="center"/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Week 12 Hilary Term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6B74" w14:textId="77777777" w:rsidR="00892136" w:rsidRDefault="00000000">
            <w:pPr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892136" w14:paraId="156F463F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5F23" w14:textId="77777777" w:rsidR="00892136" w:rsidRDefault="00000000">
            <w:pPr>
              <w:rPr>
                <w:rFonts w:ascii="Calibri" w:eastAsia="MS Gothic" w:hAnsi="Calibri" w:cs="Times New Roman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sz w:val="20"/>
                <w:szCs w:val="20"/>
              </w:rPr>
              <w:t>Professional Development Log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97A7" w14:textId="77777777" w:rsidR="00892136" w:rsidRDefault="00000000">
            <w:pPr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12 pm Friday of TW 12, HT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584" w14:textId="77777777" w:rsidR="00892136" w:rsidRDefault="00000000">
            <w:pPr>
              <w:spacing w:before="120"/>
              <w:jc w:val="center"/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MS Gothic" w:hAnsi="Calibri" w:cs="Times New Roman"/>
                <w:color w:val="000000"/>
                <w:sz w:val="20"/>
                <w:szCs w:val="20"/>
              </w:rPr>
              <w:t>Pass/Fail</w:t>
            </w:r>
          </w:p>
        </w:tc>
      </w:tr>
    </w:tbl>
    <w:p w14:paraId="68E6A8B0" w14:textId="77777777" w:rsidR="00892136" w:rsidRDefault="00892136">
      <w:pPr>
        <w:spacing w:before="120"/>
        <w:rPr>
          <w:rFonts w:ascii="Calibri" w:eastAsia="MS Gothic" w:hAnsi="Calibri" w:cs="Times New Roman"/>
          <w:sz w:val="22"/>
          <w:szCs w:val="22"/>
        </w:rPr>
      </w:pPr>
    </w:p>
    <w:sectPr w:rsidR="00892136">
      <w:head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B571" w14:textId="77777777" w:rsidR="00F01B48" w:rsidRDefault="00F01B48">
      <w:r>
        <w:separator/>
      </w:r>
    </w:p>
  </w:endnote>
  <w:endnote w:type="continuationSeparator" w:id="0">
    <w:p w14:paraId="09501695" w14:textId="77777777" w:rsidR="00F01B48" w:rsidRDefault="00F0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5F16" w14:textId="77777777" w:rsidR="00F01B48" w:rsidRDefault="00F01B48">
      <w:r>
        <w:rPr>
          <w:color w:val="000000"/>
        </w:rPr>
        <w:separator/>
      </w:r>
    </w:p>
  </w:footnote>
  <w:footnote w:type="continuationSeparator" w:id="0">
    <w:p w14:paraId="1C30416F" w14:textId="77777777" w:rsidR="00F01B48" w:rsidRDefault="00F0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BA1B" w14:textId="77777777" w:rsidR="00000000" w:rsidRDefault="00000000">
    <w:pPr>
      <w:pStyle w:val="Header"/>
      <w:tabs>
        <w:tab w:val="clear" w:pos="4320"/>
        <w:tab w:val="clear" w:pos="8640"/>
        <w:tab w:val="center" w:pos="5230"/>
        <w:tab w:val="right" w:pos="10460"/>
      </w:tabs>
    </w:pPr>
    <w:r>
      <w:rPr>
        <w:rFonts w:ascii="Century Gothic" w:hAnsi="Century Gothic"/>
        <w:noProof/>
        <w:sz w:val="22"/>
        <w:szCs w:val="22"/>
        <w:lang w:val="en-IE" w:eastAsia="en-IE"/>
      </w:rPr>
      <w:drawing>
        <wp:anchor distT="0" distB="0" distL="114300" distR="114300" simplePos="0" relativeHeight="251659264" behindDoc="0" locked="0" layoutInCell="1" allowOverlap="1" wp14:anchorId="07D21A16" wp14:editId="223F6CC0">
          <wp:simplePos x="0" y="0"/>
          <wp:positionH relativeFrom="column">
            <wp:posOffset>4457700</wp:posOffset>
          </wp:positionH>
          <wp:positionV relativeFrom="paragraph">
            <wp:posOffset>-48892</wp:posOffset>
          </wp:positionV>
          <wp:extent cx="837562" cy="343530"/>
          <wp:effectExtent l="0" t="0" r="638" b="0"/>
          <wp:wrapSquare wrapText="bothSides"/>
          <wp:docPr id="158224093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13403"/>
                  <a:stretch>
                    <a:fillRect/>
                  </a:stretch>
                </pic:blipFill>
                <pic:spPr>
                  <a:xfrm>
                    <a:off x="0" y="0"/>
                    <a:ext cx="837562" cy="3435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noProof/>
        <w:sz w:val="22"/>
        <w:szCs w:val="22"/>
        <w:lang w:val="en-IE" w:eastAsia="en-IE"/>
      </w:rPr>
      <w:drawing>
        <wp:anchor distT="0" distB="0" distL="114300" distR="114300" simplePos="0" relativeHeight="251660288" behindDoc="0" locked="0" layoutInCell="1" allowOverlap="1" wp14:anchorId="763BC269" wp14:editId="6D9E2CFA">
          <wp:simplePos x="0" y="0"/>
          <wp:positionH relativeFrom="column">
            <wp:posOffset>0</wp:posOffset>
          </wp:positionH>
          <wp:positionV relativeFrom="paragraph">
            <wp:posOffset>-48892</wp:posOffset>
          </wp:positionV>
          <wp:extent cx="2400300" cy="448942"/>
          <wp:effectExtent l="0" t="0" r="0" b="8258"/>
          <wp:wrapSquare wrapText="bothSides"/>
          <wp:docPr id="86730969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3166" t="12914" r="2701" b="3092"/>
                  <a:stretch>
                    <a:fillRect/>
                  </a:stretch>
                </pic:blipFill>
                <pic:spPr>
                  <a:xfrm>
                    <a:off x="0" y="0"/>
                    <a:ext cx="2400300" cy="4489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9DD630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E4B42"/>
    <w:multiLevelType w:val="multilevel"/>
    <w:tmpl w:val="DF6E39F6"/>
    <w:styleLink w:val="LFO28"/>
    <w:lvl w:ilvl="0">
      <w:numFmt w:val="bullet"/>
      <w:pStyle w:val="Bullett-Table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5376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2136"/>
    <w:rsid w:val="000F6015"/>
    <w:rsid w:val="00892136"/>
    <w:rsid w:val="00F01B48"/>
    <w:rsid w:val="00F0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F93D"/>
  <w15:docId w15:val="{5780BE63-D31A-4027-9D9D-B98815C2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</w:pPr>
    <w:rPr>
      <w:rFonts w:ascii="PMingLiU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rPr>
      <w:rFonts w:ascii="PMingLiU" w:hAnsi="PMingLiU"/>
      <w:sz w:val="22"/>
      <w:szCs w:val="22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after="240" w:line="251" w:lineRule="auto"/>
      <w:jc w:val="both"/>
    </w:pPr>
    <w:rPr>
      <w:rFonts w:ascii="Garamond" w:eastAsia="Times New Roman" w:hAnsi="Garamond" w:cs="Times New Roman"/>
      <w:b/>
      <w:bCs/>
      <w:spacing w:val="-5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Garamond" w:eastAsia="Times New Roman" w:hAnsi="Garamond" w:cs="Times New Roman"/>
      <w:b/>
      <w:bCs/>
      <w:spacing w:val="-5"/>
      <w:szCs w:val="20"/>
      <w:lang w:val="en-US"/>
    </w:rPr>
  </w:style>
  <w:style w:type="paragraph" w:customStyle="1" w:styleId="TableText">
    <w:name w:val="Table Text"/>
    <w:pPr>
      <w:suppressAutoHyphens/>
      <w:spacing w:before="40" w:after="40" w:line="251" w:lineRule="auto"/>
    </w:pPr>
    <w:rPr>
      <w:rFonts w:ascii="Arial" w:eastAsia="Times New Roman" w:hAnsi="Arial" w:cs="Times New Roman"/>
      <w:sz w:val="22"/>
      <w:szCs w:val="22"/>
      <w:lang w:val="en-US"/>
    </w:rPr>
  </w:style>
  <w:style w:type="paragraph" w:customStyle="1" w:styleId="Bullett-Table">
    <w:name w:val="Bullett - Table"/>
    <w:basedOn w:val="TableText"/>
    <w:pPr>
      <w:numPr>
        <w:numId w:val="1"/>
      </w:numPr>
    </w:pPr>
  </w:style>
  <w:style w:type="paragraph" w:customStyle="1" w:styleId="Lastbullet">
    <w:name w:val="Last bullet"/>
    <w:basedOn w:val="Normal"/>
    <w:next w:val="Normal"/>
    <w:pPr>
      <w:spacing w:after="200" w:line="480" w:lineRule="auto"/>
    </w:pPr>
    <w:rPr>
      <w:rFonts w:ascii="Times New Roman" w:eastAsia="Times New Roman" w:hAnsi="Times New Roman" w:cs="Times New Roman"/>
      <w:szCs w:val="22"/>
      <w:lang w:val="en-US" w:eastAsia="en-IE"/>
    </w:rPr>
  </w:style>
  <w:style w:type="paragraph" w:customStyle="1" w:styleId="Norma">
    <w:name w:val="Norma"/>
    <w:pPr>
      <w:suppressAutoHyphens/>
      <w:overflowPunct w:val="0"/>
      <w:autoSpaceDE w:val="0"/>
      <w:spacing w:after="200" w:line="251" w:lineRule="auto"/>
    </w:pPr>
    <w:rPr>
      <w:rFonts w:ascii="Times" w:eastAsia="Times New Roman" w:hAnsi="Times" w:cs="Times New Roman"/>
      <w:szCs w:val="20"/>
      <w:lang w:val="en-US"/>
    </w:rPr>
  </w:style>
  <w:style w:type="character" w:customStyle="1" w:styleId="NormaChar">
    <w:name w:val="Norma Char"/>
    <w:rPr>
      <w:rFonts w:ascii="Times" w:eastAsia="Times New Roman" w:hAnsi="Times" w:cs="Times New Roman"/>
      <w:szCs w:val="20"/>
      <w:lang w:val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rPr>
      <w:sz w:val="16"/>
      <w:szCs w:val="16"/>
    </w:rPr>
  </w:style>
  <w:style w:type="paragraph" w:styleId="TableofAuthorities">
    <w:name w:val="table of authorities"/>
    <w:basedOn w:val="Normal"/>
    <w:pPr>
      <w:tabs>
        <w:tab w:val="right" w:leader="dot" w:pos="8640"/>
      </w:tabs>
      <w:spacing w:after="240" w:line="251" w:lineRule="auto"/>
    </w:pPr>
    <w:rPr>
      <w:rFonts w:eastAsia="Times New Roman" w:cs="Times New Roman"/>
      <w:sz w:val="20"/>
      <w:szCs w:val="22"/>
      <w:lang w:val="en-IE" w:eastAsia="en-IE"/>
    </w:rPr>
  </w:style>
  <w:style w:type="numbering" w:customStyle="1" w:styleId="LFO28">
    <w:name w:val="LFO28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Rozanne Barrow</dc:creator>
  <cp:lastModifiedBy>Brendan McFadden</cp:lastModifiedBy>
  <cp:revision>2</cp:revision>
  <cp:lastPrinted>2021-09-08T15:07:00Z</cp:lastPrinted>
  <dcterms:created xsi:type="dcterms:W3CDTF">2026-06-27T14:56:00Z</dcterms:created>
  <dcterms:modified xsi:type="dcterms:W3CDTF">2026-06-27T14:56:00Z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0x010100D16398A1C5741A45B306A2C31C4ACF4E</vt:lpwstr>
  </property>
  <property fmtid="{D5CDD505-2E9C-101B-9397-08002B2CF9AE}" pid="3" name="Order">
    <vt:r8>3350900</vt:r8>
  </property>
  <property fmtid="{D5CDD505-2E9C-101B-9397-08002B2CF9AE}" pid="4" name="SharedWithUsers">
    <vt:lpwstr>2238;#Aisling Reid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