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7F897" w14:textId="7D54E6DF" w:rsidR="008E2B6B" w:rsidRPr="00367E58" w:rsidRDefault="008E2B6B" w:rsidP="00C7302B">
      <w:pPr>
        <w:jc w:val="both"/>
        <w:rPr>
          <w:rFonts w:cstheme="minorHAnsi"/>
          <w:b/>
          <w:color w:val="2F5496" w:themeColor="accent1" w:themeShade="BF"/>
          <w:sz w:val="28"/>
          <w:szCs w:val="28"/>
        </w:rPr>
      </w:pPr>
      <w:r w:rsidRPr="00367E58">
        <w:rPr>
          <w:rFonts w:cstheme="minorHAnsi"/>
          <w:noProof/>
          <w:lang w:eastAsia="ja-JP"/>
        </w:rPr>
        <w:drawing>
          <wp:inline distT="0" distB="0" distL="0" distR="0" wp14:anchorId="4826289C" wp14:editId="7AF0D1A5">
            <wp:extent cx="2390775" cy="8248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824838"/>
                    </a:xfrm>
                    <a:prstGeom prst="rect">
                      <a:avLst/>
                    </a:prstGeom>
                    <a:noFill/>
                    <a:ln>
                      <a:noFill/>
                    </a:ln>
                  </pic:spPr>
                </pic:pic>
              </a:graphicData>
            </a:graphic>
          </wp:inline>
        </w:drawing>
      </w:r>
    </w:p>
    <w:p w14:paraId="3D2A0235" w14:textId="77777777" w:rsidR="008D27E4" w:rsidRPr="00367E58" w:rsidRDefault="008D27E4" w:rsidP="00C7302B">
      <w:pPr>
        <w:jc w:val="both"/>
        <w:rPr>
          <w:rFonts w:cstheme="minorHAnsi"/>
          <w:b/>
          <w:color w:val="2F5496" w:themeColor="accent1" w:themeShade="BF"/>
          <w:sz w:val="28"/>
          <w:szCs w:val="28"/>
        </w:rPr>
      </w:pPr>
    </w:p>
    <w:p w14:paraId="3E17489B" w14:textId="1D4D76E3" w:rsidR="00214C2F" w:rsidRDefault="00FE1E99" w:rsidP="00C7302B">
      <w:pPr>
        <w:ind w:right="-188"/>
        <w:jc w:val="both"/>
        <w:rPr>
          <w:rFonts w:cstheme="minorHAnsi"/>
          <w:b/>
          <w:sz w:val="28"/>
          <w:szCs w:val="28"/>
        </w:rPr>
      </w:pPr>
      <w:r w:rsidRPr="00367E58">
        <w:rPr>
          <w:rFonts w:cstheme="minorHAnsi"/>
          <w:b/>
          <w:sz w:val="28"/>
          <w:szCs w:val="28"/>
        </w:rPr>
        <w:t xml:space="preserve">GUIDANCE ON THE ASSESSMENT OF </w:t>
      </w:r>
      <w:r w:rsidR="00002763" w:rsidRPr="00367E58">
        <w:rPr>
          <w:rFonts w:cstheme="minorHAnsi"/>
          <w:b/>
          <w:sz w:val="28"/>
          <w:szCs w:val="28"/>
        </w:rPr>
        <w:t xml:space="preserve">EXPLICIT </w:t>
      </w:r>
      <w:r w:rsidRPr="00367E58">
        <w:rPr>
          <w:rFonts w:cstheme="minorHAnsi"/>
          <w:b/>
          <w:sz w:val="28"/>
          <w:szCs w:val="28"/>
        </w:rPr>
        <w:t>CONSENT FOR HEALTH RESEARCH</w:t>
      </w:r>
    </w:p>
    <w:p w14:paraId="3FD694AB" w14:textId="77777777" w:rsidR="00C7302B" w:rsidRPr="00367E58" w:rsidRDefault="00C7302B" w:rsidP="00C7302B">
      <w:pPr>
        <w:ind w:right="-188"/>
        <w:jc w:val="both"/>
        <w:rPr>
          <w:rFonts w:cstheme="minorHAnsi"/>
          <w:b/>
          <w:sz w:val="24"/>
          <w:szCs w:val="24"/>
        </w:rPr>
      </w:pPr>
    </w:p>
    <w:p w14:paraId="414E9EE3" w14:textId="4C5E725B" w:rsidR="00836FAD" w:rsidRPr="00367E58" w:rsidRDefault="005F3262" w:rsidP="00C7302B">
      <w:pPr>
        <w:jc w:val="both"/>
        <w:rPr>
          <w:rFonts w:cstheme="minorHAnsi"/>
          <w:b/>
          <w:sz w:val="24"/>
          <w:szCs w:val="24"/>
        </w:rPr>
      </w:pPr>
      <w:r w:rsidRPr="00367E58">
        <w:rPr>
          <w:rFonts w:cstheme="minorHAnsi"/>
          <w:b/>
          <w:sz w:val="24"/>
          <w:szCs w:val="24"/>
        </w:rPr>
        <w:t>HOW TO USE THIS GUIDANCE NOTE</w:t>
      </w:r>
    </w:p>
    <w:p w14:paraId="66DB02F3" w14:textId="03F6A42A" w:rsidR="004D1861" w:rsidRPr="00367E58" w:rsidRDefault="004D1861" w:rsidP="00C7302B">
      <w:pPr>
        <w:jc w:val="both"/>
        <w:rPr>
          <w:rFonts w:cstheme="minorHAnsi"/>
        </w:rPr>
      </w:pPr>
      <w:r w:rsidRPr="00367E58">
        <w:rPr>
          <w:rFonts w:cstheme="minorHAnsi"/>
        </w:rPr>
        <w:t xml:space="preserve">This guidance note should be read and reviewed in conjunction with the guidance on Information Leaflets. </w:t>
      </w:r>
    </w:p>
    <w:p w14:paraId="1FD7D5E7" w14:textId="71A1CA4E" w:rsidR="00E67491" w:rsidRPr="00367E58" w:rsidRDefault="00BB1183" w:rsidP="00C7302B">
      <w:pPr>
        <w:jc w:val="both"/>
        <w:rPr>
          <w:rFonts w:cstheme="minorHAnsi"/>
        </w:rPr>
      </w:pPr>
      <w:r w:rsidRPr="00367E58">
        <w:rPr>
          <w:rFonts w:cstheme="minorHAnsi"/>
          <w:b/>
          <w:u w:val="single"/>
        </w:rPr>
        <w:t>Part 1</w:t>
      </w:r>
      <w:r w:rsidRPr="00367E58">
        <w:rPr>
          <w:rFonts w:cstheme="minorHAnsi"/>
        </w:rPr>
        <w:t xml:space="preserve"> of this guidance note will provide you with guidance on the assessment of </w:t>
      </w:r>
      <w:r w:rsidR="00836FAD" w:rsidRPr="00367E58">
        <w:rPr>
          <w:rFonts w:cstheme="minorHAnsi"/>
        </w:rPr>
        <w:t xml:space="preserve">“existing” </w:t>
      </w:r>
      <w:r w:rsidRPr="00367E58">
        <w:rPr>
          <w:rFonts w:cstheme="minorHAnsi"/>
        </w:rPr>
        <w:t>consent</w:t>
      </w:r>
      <w:r w:rsidR="00896BE2" w:rsidRPr="00367E58">
        <w:rPr>
          <w:rFonts w:cstheme="minorHAnsi"/>
        </w:rPr>
        <w:t>s</w:t>
      </w:r>
      <w:r w:rsidRPr="00367E58">
        <w:rPr>
          <w:rFonts w:cstheme="minorHAnsi"/>
        </w:rPr>
        <w:t xml:space="preserve"> for health research that was </w:t>
      </w:r>
      <w:r w:rsidRPr="00367E58">
        <w:rPr>
          <w:rFonts w:cstheme="minorHAnsi"/>
          <w:b/>
          <w:u w:val="single"/>
        </w:rPr>
        <w:t>c</w:t>
      </w:r>
      <w:r w:rsidR="00836FAD" w:rsidRPr="00367E58">
        <w:rPr>
          <w:rFonts w:cstheme="minorHAnsi"/>
          <w:b/>
          <w:u w:val="single"/>
        </w:rPr>
        <w:t>ommenced prior to 8 August 2018</w:t>
      </w:r>
      <w:r w:rsidR="005F3262" w:rsidRPr="00367E58">
        <w:rPr>
          <w:rFonts w:cstheme="minorHAnsi"/>
        </w:rPr>
        <w:t xml:space="preserve"> where a data controller</w:t>
      </w:r>
      <w:r w:rsidR="00836FAD" w:rsidRPr="00367E58">
        <w:rPr>
          <w:rFonts w:cstheme="minorHAnsi"/>
        </w:rPr>
        <w:t xml:space="preserve"> </w:t>
      </w:r>
      <w:r w:rsidR="00836FAD" w:rsidRPr="00367E58">
        <w:rPr>
          <w:rFonts w:cstheme="minorHAnsi"/>
          <w:b/>
          <w:u w:val="single"/>
        </w:rPr>
        <w:t>processes or further processes</w:t>
      </w:r>
      <w:r w:rsidR="00836FAD" w:rsidRPr="00367E58">
        <w:rPr>
          <w:rFonts w:cstheme="minorHAnsi"/>
        </w:rPr>
        <w:t xml:space="preserve"> personal data for </w:t>
      </w:r>
      <w:r w:rsidR="001B0785" w:rsidRPr="00367E58">
        <w:rPr>
          <w:rFonts w:cstheme="minorHAnsi"/>
        </w:rPr>
        <w:t>the purposes of health research</w:t>
      </w:r>
      <w:r w:rsidR="00896BE2" w:rsidRPr="00367E58">
        <w:rPr>
          <w:rStyle w:val="FootnoteReference"/>
          <w:rFonts w:cstheme="minorHAnsi"/>
        </w:rPr>
        <w:footnoteReference w:id="1"/>
      </w:r>
      <w:r w:rsidR="00896BE2" w:rsidRPr="00367E58">
        <w:rPr>
          <w:rFonts w:cstheme="minorHAnsi"/>
        </w:rPr>
        <w:t xml:space="preserve"> after 8 August 2018</w:t>
      </w:r>
      <w:r w:rsidR="001B0785" w:rsidRPr="00367E58">
        <w:rPr>
          <w:rFonts w:cstheme="minorHAnsi"/>
        </w:rPr>
        <w:t xml:space="preserve">. </w:t>
      </w:r>
      <w:r w:rsidR="00896BE2" w:rsidRPr="00367E58">
        <w:rPr>
          <w:rFonts w:cstheme="minorHAnsi"/>
        </w:rPr>
        <w:t xml:space="preserve"> </w:t>
      </w:r>
    </w:p>
    <w:p w14:paraId="71FB05A7" w14:textId="1D9EDF30" w:rsidR="00BB1183" w:rsidRPr="00367E58" w:rsidRDefault="00BB1183" w:rsidP="00C7302B">
      <w:pPr>
        <w:jc w:val="both"/>
        <w:rPr>
          <w:rFonts w:cstheme="minorHAnsi"/>
        </w:rPr>
      </w:pPr>
      <w:r w:rsidRPr="00367E58">
        <w:rPr>
          <w:rFonts w:cstheme="minorHAnsi"/>
          <w:b/>
          <w:u w:val="single"/>
        </w:rPr>
        <w:t>Part 2</w:t>
      </w:r>
      <w:r w:rsidRPr="00367E58">
        <w:rPr>
          <w:rFonts w:cstheme="minorHAnsi"/>
        </w:rPr>
        <w:t xml:space="preserve"> of this guidance note </w:t>
      </w:r>
      <w:r w:rsidR="00002763" w:rsidRPr="00367E58">
        <w:rPr>
          <w:rFonts w:cstheme="minorHAnsi"/>
        </w:rPr>
        <w:t xml:space="preserve">outlines the requirements of explicit consent and provides </w:t>
      </w:r>
      <w:r w:rsidR="00E67491" w:rsidRPr="00367E58">
        <w:rPr>
          <w:rFonts w:cstheme="minorHAnsi"/>
        </w:rPr>
        <w:t>a sample consent form</w:t>
      </w:r>
      <w:r w:rsidRPr="00367E58">
        <w:rPr>
          <w:rFonts w:cstheme="minorHAnsi"/>
        </w:rPr>
        <w:t xml:space="preserve"> for research stu</w:t>
      </w:r>
      <w:r w:rsidR="00E67491" w:rsidRPr="00367E58">
        <w:rPr>
          <w:rFonts w:cstheme="minorHAnsi"/>
        </w:rPr>
        <w:t>dies and guidance on how to prepare a consent fo</w:t>
      </w:r>
      <w:r w:rsidR="00836FAD" w:rsidRPr="00367E58">
        <w:rPr>
          <w:rFonts w:cstheme="minorHAnsi"/>
        </w:rPr>
        <w:t xml:space="preserve">rm for </w:t>
      </w:r>
      <w:r w:rsidR="008E2B6B" w:rsidRPr="00367E58">
        <w:rPr>
          <w:rFonts w:cstheme="minorHAnsi"/>
        </w:rPr>
        <w:t>a health research study</w:t>
      </w:r>
      <w:r w:rsidR="00836FAD" w:rsidRPr="00367E58">
        <w:rPr>
          <w:rFonts w:cstheme="minorHAnsi"/>
        </w:rPr>
        <w:t xml:space="preserve"> that is in compliance with the General Data Protection Regulation</w:t>
      </w:r>
      <w:r w:rsidR="005F3262" w:rsidRPr="00367E58">
        <w:rPr>
          <w:rFonts w:cstheme="minorHAnsi"/>
        </w:rPr>
        <w:t xml:space="preserve"> (EU) 2016/679</w:t>
      </w:r>
      <w:r w:rsidR="00836FAD" w:rsidRPr="00367E58">
        <w:rPr>
          <w:rFonts w:cstheme="minorHAnsi"/>
        </w:rPr>
        <w:t xml:space="preserve"> (</w:t>
      </w:r>
      <w:r w:rsidR="003A75C5" w:rsidRPr="00367E58">
        <w:rPr>
          <w:rFonts w:cstheme="minorHAnsi"/>
        </w:rPr>
        <w:t>“</w:t>
      </w:r>
      <w:r w:rsidR="003A75C5" w:rsidRPr="00367E58">
        <w:rPr>
          <w:rFonts w:cstheme="minorHAnsi"/>
          <w:b/>
        </w:rPr>
        <w:t>GDPR</w:t>
      </w:r>
      <w:r w:rsidR="003A75C5" w:rsidRPr="00367E58">
        <w:rPr>
          <w:rFonts w:cstheme="minorHAnsi"/>
        </w:rPr>
        <w:t xml:space="preserve">”) and the Data Protection Act 2018 (Section </w:t>
      </w:r>
      <w:r w:rsidR="008A0B2C" w:rsidRPr="00367E58">
        <w:rPr>
          <w:rFonts w:cstheme="minorHAnsi"/>
        </w:rPr>
        <w:t>36(2)</w:t>
      </w:r>
      <w:r w:rsidR="003A75C5" w:rsidRPr="00367E58">
        <w:rPr>
          <w:rFonts w:cstheme="minorHAnsi"/>
        </w:rPr>
        <w:t>) (Health Research) Regulations 2018 (the “</w:t>
      </w:r>
      <w:r w:rsidR="005F3262" w:rsidRPr="00367E58">
        <w:rPr>
          <w:rFonts w:cstheme="minorHAnsi"/>
          <w:b/>
        </w:rPr>
        <w:t>Health Research Regulations</w:t>
      </w:r>
      <w:r w:rsidR="003A75C5" w:rsidRPr="00367E58">
        <w:rPr>
          <w:rFonts w:cstheme="minorHAnsi"/>
        </w:rPr>
        <w:t xml:space="preserve">”). </w:t>
      </w:r>
    </w:p>
    <w:p w14:paraId="76F94DD0" w14:textId="77777777" w:rsidR="00A43E74" w:rsidRDefault="00A43E74" w:rsidP="00C7302B">
      <w:pPr>
        <w:jc w:val="both"/>
        <w:rPr>
          <w:rFonts w:cstheme="minorHAnsi"/>
          <w:b/>
        </w:rPr>
      </w:pPr>
    </w:p>
    <w:p w14:paraId="7F4AE095" w14:textId="29C14824" w:rsidR="00214C2F" w:rsidRPr="00140923" w:rsidRDefault="001B0785" w:rsidP="00C7302B">
      <w:pPr>
        <w:jc w:val="both"/>
        <w:rPr>
          <w:rFonts w:cstheme="minorHAnsi"/>
          <w:b/>
          <w:u w:val="single"/>
        </w:rPr>
        <w:sectPr w:rsidR="00214C2F" w:rsidRPr="00140923">
          <w:footerReference w:type="default" r:id="rId9"/>
          <w:pgSz w:w="11906" w:h="16838"/>
          <w:pgMar w:top="1440" w:right="1440" w:bottom="1440" w:left="1440" w:header="708" w:footer="708" w:gutter="0"/>
          <w:cols w:space="708"/>
          <w:docGrid w:linePitch="360"/>
        </w:sectPr>
      </w:pPr>
      <w:r w:rsidRPr="00140923">
        <w:rPr>
          <w:rFonts w:cstheme="minorHAnsi"/>
          <w:b/>
          <w:u w:val="single"/>
        </w:rPr>
        <w:t>Please note that this guidance note may be amended from time to time</w:t>
      </w:r>
      <w:r w:rsidR="009E5E47" w:rsidRPr="00140923">
        <w:rPr>
          <w:rFonts w:cstheme="minorHAnsi"/>
          <w:b/>
          <w:u w:val="single"/>
        </w:rPr>
        <w:t xml:space="preserve"> and does not constitute legal advice.</w:t>
      </w:r>
    </w:p>
    <w:p w14:paraId="53356124" w14:textId="77777777" w:rsidR="00C76794" w:rsidRPr="00367E58" w:rsidRDefault="00C76794" w:rsidP="00C76794">
      <w:pPr>
        <w:spacing w:line="276" w:lineRule="auto"/>
        <w:jc w:val="both"/>
        <w:rPr>
          <w:rFonts w:cstheme="minorHAnsi"/>
          <w:b/>
          <w:sz w:val="28"/>
          <w:szCs w:val="28"/>
        </w:rPr>
      </w:pPr>
      <w:r w:rsidRPr="00367E58">
        <w:rPr>
          <w:rFonts w:cstheme="minorHAnsi"/>
          <w:b/>
          <w:sz w:val="28"/>
          <w:szCs w:val="28"/>
        </w:rPr>
        <w:lastRenderedPageBreak/>
        <w:t>Part 1</w:t>
      </w:r>
    </w:p>
    <w:p w14:paraId="1FC349D9" w14:textId="07D425B6" w:rsidR="00002763" w:rsidRPr="00367E58" w:rsidRDefault="008B2DC2" w:rsidP="00C7302B">
      <w:pPr>
        <w:jc w:val="both"/>
        <w:rPr>
          <w:rFonts w:cstheme="minorHAnsi"/>
          <w:b/>
        </w:rPr>
      </w:pPr>
      <w:r w:rsidRPr="008B2DC2">
        <w:rPr>
          <w:rFonts w:cstheme="minorHAnsi"/>
          <w:b/>
          <w:sz w:val="24"/>
          <w:szCs w:val="24"/>
        </w:rPr>
        <w:t xml:space="preserve">Guidance on assessment of consent for health research commenced prior to 8 August 2018 </w:t>
      </w:r>
      <w:r w:rsidR="00002763" w:rsidRPr="00367E58">
        <w:rPr>
          <w:rFonts w:cstheme="minorHAnsi"/>
          <w:b/>
        </w:rPr>
        <w:t xml:space="preserve">What has changed under the Health Research Regulations? </w:t>
      </w:r>
    </w:p>
    <w:p w14:paraId="21F4D8CF" w14:textId="0AEE071B" w:rsidR="00002763" w:rsidRPr="00367E58" w:rsidRDefault="00002763" w:rsidP="00C7302B">
      <w:pPr>
        <w:jc w:val="both"/>
        <w:rPr>
          <w:rFonts w:cstheme="minorHAnsi"/>
        </w:rPr>
      </w:pPr>
      <w:r w:rsidRPr="00367E58">
        <w:rPr>
          <w:rFonts w:cstheme="minorHAnsi"/>
        </w:rPr>
        <w:t xml:space="preserve">Regulation 6 of the Health Research Regulations 2018 provides that a data controller who is carrying out health research that commenced prior to </w:t>
      </w:r>
      <w:r w:rsidRPr="00367E58">
        <w:rPr>
          <w:rFonts w:cstheme="minorHAnsi"/>
          <w:b/>
          <w:u w:val="single"/>
        </w:rPr>
        <w:t>8 August 2018</w:t>
      </w:r>
      <w:r w:rsidRPr="00367E58">
        <w:rPr>
          <w:rFonts w:cstheme="minorHAnsi"/>
        </w:rPr>
        <w:t xml:space="preserve"> who </w:t>
      </w:r>
      <w:r w:rsidRPr="00367E58">
        <w:rPr>
          <w:rFonts w:cstheme="minorHAnsi"/>
          <w:b/>
          <w:u w:val="single"/>
        </w:rPr>
        <w:t>processes or further processes</w:t>
      </w:r>
      <w:r w:rsidRPr="00367E58">
        <w:rPr>
          <w:rFonts w:cstheme="minorHAnsi"/>
        </w:rPr>
        <w:t xml:space="preserve"> personal data for the </w:t>
      </w:r>
      <w:r w:rsidRPr="00367E58">
        <w:rPr>
          <w:rFonts w:cstheme="minorHAnsi"/>
          <w:b/>
          <w:u w:val="single"/>
        </w:rPr>
        <w:t>purposes of that health research after 8 August 2018</w:t>
      </w:r>
      <w:r w:rsidRPr="00367E58">
        <w:rPr>
          <w:rFonts w:cstheme="minorHAnsi"/>
        </w:rPr>
        <w:t xml:space="preserve"> shall, as soon as practicable and no later than [</w:t>
      </w:r>
      <w:r w:rsidR="007E6BC9" w:rsidRPr="00367E58">
        <w:rPr>
          <w:rFonts w:cstheme="minorHAnsi"/>
        </w:rPr>
        <w:t xml:space="preserve">7 August </w:t>
      </w:r>
      <w:r w:rsidRPr="00367E58">
        <w:rPr>
          <w:rFonts w:cstheme="minorHAnsi"/>
        </w:rPr>
        <w:t>2019]</w:t>
      </w:r>
      <w:r w:rsidRPr="00367E58">
        <w:rPr>
          <w:rStyle w:val="FootnoteReference"/>
          <w:rFonts w:cstheme="minorHAnsi"/>
        </w:rPr>
        <w:footnoteReference w:id="2"/>
      </w:r>
      <w:r w:rsidRPr="00367E58">
        <w:rPr>
          <w:rFonts w:cstheme="minorHAnsi"/>
        </w:rPr>
        <w:t xml:space="preserve">, have </w:t>
      </w:r>
      <w:r w:rsidRPr="00367E58">
        <w:rPr>
          <w:rFonts w:cstheme="minorHAnsi"/>
          <w:b/>
          <w:u w:val="single"/>
        </w:rPr>
        <w:t>explicit consent</w:t>
      </w:r>
      <w:r w:rsidRPr="00367E58">
        <w:rPr>
          <w:rFonts w:cstheme="minorHAnsi"/>
        </w:rPr>
        <w:t xml:space="preserve"> of the data subject</w:t>
      </w:r>
      <w:r w:rsidR="001F7AFE">
        <w:rPr>
          <w:rFonts w:cstheme="minorHAnsi"/>
        </w:rPr>
        <w:t xml:space="preserve"> (i.e. research participants)</w:t>
      </w:r>
      <w:r w:rsidRPr="00367E58">
        <w:rPr>
          <w:rFonts w:cstheme="minorHAnsi"/>
        </w:rPr>
        <w:t xml:space="preserve"> for the processing of his or her personal data for the purpose of specified health research, either</w:t>
      </w:r>
      <w:r w:rsidR="00DF0286" w:rsidRPr="00367E58">
        <w:rPr>
          <w:rFonts w:cstheme="minorHAnsi"/>
        </w:rPr>
        <w:t>:</w:t>
      </w:r>
      <w:r w:rsidRPr="00367E58">
        <w:rPr>
          <w:rFonts w:cstheme="minorHAnsi"/>
        </w:rPr>
        <w:t xml:space="preserve"> </w:t>
      </w:r>
    </w:p>
    <w:p w14:paraId="6383DDDA" w14:textId="6C10DA07" w:rsidR="00E30173" w:rsidRPr="00367E58" w:rsidRDefault="00002763" w:rsidP="00C7302B">
      <w:pPr>
        <w:pStyle w:val="ListParagraph"/>
        <w:numPr>
          <w:ilvl w:val="0"/>
          <w:numId w:val="5"/>
        </w:numPr>
        <w:jc w:val="both"/>
        <w:rPr>
          <w:rFonts w:cstheme="minorHAnsi"/>
        </w:rPr>
      </w:pPr>
      <w:r w:rsidRPr="00367E58">
        <w:rPr>
          <w:rFonts w:cstheme="minorHAnsi"/>
        </w:rPr>
        <w:t>in relation to a particular area</w:t>
      </w:r>
      <w:r w:rsidR="003C060A" w:rsidRPr="00367E58">
        <w:rPr>
          <w:rFonts w:cstheme="minorHAnsi"/>
        </w:rPr>
        <w:t xml:space="preserve">, </w:t>
      </w:r>
      <w:r w:rsidRPr="00367E58">
        <w:rPr>
          <w:rFonts w:cstheme="minorHAnsi"/>
        </w:rPr>
        <w:t>or</w:t>
      </w:r>
    </w:p>
    <w:p w14:paraId="0EA350C7" w14:textId="6FA45DAE" w:rsidR="00002763" w:rsidRPr="00367E58" w:rsidRDefault="00002763" w:rsidP="00C7302B">
      <w:pPr>
        <w:pStyle w:val="ListParagraph"/>
        <w:numPr>
          <w:ilvl w:val="0"/>
          <w:numId w:val="5"/>
        </w:numPr>
        <w:jc w:val="both"/>
        <w:rPr>
          <w:rFonts w:cstheme="minorHAnsi"/>
        </w:rPr>
      </w:pPr>
      <w:r w:rsidRPr="00367E58">
        <w:rPr>
          <w:rFonts w:cstheme="minorHAnsi"/>
        </w:rPr>
        <w:t>more generally in that area</w:t>
      </w:r>
      <w:r w:rsidR="003C060A" w:rsidRPr="00367E58">
        <w:rPr>
          <w:rFonts w:cstheme="minorHAnsi"/>
        </w:rPr>
        <w:t>,</w:t>
      </w:r>
      <w:r w:rsidRPr="00367E58">
        <w:rPr>
          <w:rFonts w:cstheme="minorHAnsi"/>
        </w:rPr>
        <w:t xml:space="preserve"> or</w:t>
      </w:r>
    </w:p>
    <w:p w14:paraId="2A5EA08F" w14:textId="77777777" w:rsidR="00002763" w:rsidRPr="00367E58" w:rsidRDefault="00002763" w:rsidP="00C7302B">
      <w:pPr>
        <w:pStyle w:val="ListParagraph"/>
        <w:numPr>
          <w:ilvl w:val="0"/>
          <w:numId w:val="5"/>
        </w:numPr>
        <w:jc w:val="both"/>
        <w:rPr>
          <w:rFonts w:cstheme="minorHAnsi"/>
        </w:rPr>
      </w:pPr>
      <w:r w:rsidRPr="00367E58">
        <w:rPr>
          <w:rFonts w:cstheme="minorHAnsi"/>
        </w:rPr>
        <w:t>a related area of health research, or</w:t>
      </w:r>
    </w:p>
    <w:p w14:paraId="0B42659E" w14:textId="0A99B397" w:rsidR="00002763" w:rsidRPr="00367E58" w:rsidRDefault="00002763" w:rsidP="00C7302B">
      <w:pPr>
        <w:pStyle w:val="ListParagraph"/>
        <w:numPr>
          <w:ilvl w:val="0"/>
          <w:numId w:val="5"/>
        </w:numPr>
        <w:jc w:val="both"/>
        <w:rPr>
          <w:rFonts w:cstheme="minorHAnsi"/>
        </w:rPr>
      </w:pPr>
      <w:r w:rsidRPr="00367E58">
        <w:rPr>
          <w:rFonts w:cstheme="minorHAnsi"/>
        </w:rPr>
        <w:t xml:space="preserve">part thereof. </w:t>
      </w:r>
    </w:p>
    <w:p w14:paraId="0D4125CF" w14:textId="1D7B2617" w:rsidR="00002763" w:rsidRPr="00367E58" w:rsidRDefault="00002763" w:rsidP="00C7302B">
      <w:pPr>
        <w:jc w:val="both"/>
        <w:rPr>
          <w:rFonts w:cstheme="minorHAnsi"/>
        </w:rPr>
      </w:pPr>
      <w:r w:rsidRPr="00367E58">
        <w:rPr>
          <w:rFonts w:cstheme="minorHAnsi"/>
        </w:rPr>
        <w:t xml:space="preserve">Please note that this guidance note does not cover the other requirements set out in Regulation 3(1)(a)-(e) of the </w:t>
      </w:r>
      <w:r w:rsidR="00DF0286" w:rsidRPr="00367E58">
        <w:rPr>
          <w:rFonts w:cstheme="minorHAnsi"/>
        </w:rPr>
        <w:t>Health Research Regulations</w:t>
      </w:r>
      <w:r w:rsidRPr="00367E58">
        <w:rPr>
          <w:rFonts w:cstheme="minorHAnsi"/>
        </w:rPr>
        <w:t xml:space="preserve">, which specify the mandatory "suitable and specific measures" that must be taken when the processing of personal data is undertaken for the purposes of health research. </w:t>
      </w:r>
    </w:p>
    <w:p w14:paraId="13F68685" w14:textId="77777777" w:rsidR="00002763" w:rsidRPr="00FD3D79" w:rsidRDefault="00002763" w:rsidP="00C7302B">
      <w:pPr>
        <w:pStyle w:val="ListParagraph"/>
        <w:ind w:left="0"/>
        <w:jc w:val="both"/>
        <w:rPr>
          <w:rFonts w:cstheme="minorHAnsi"/>
          <w:b/>
          <w:i/>
        </w:rPr>
      </w:pPr>
      <w:r w:rsidRPr="00FD3D79">
        <w:rPr>
          <w:rFonts w:cstheme="minorHAnsi"/>
          <w:b/>
          <w:i/>
        </w:rPr>
        <w:t xml:space="preserve">What do I need to do as a researcher that has an ongoing health research study that was commenced prior to 8 August 2018? </w:t>
      </w:r>
    </w:p>
    <w:p w14:paraId="739358B5" w14:textId="35821B2B" w:rsidR="00002763" w:rsidRPr="00367E58" w:rsidRDefault="00002763" w:rsidP="00C7302B">
      <w:pPr>
        <w:jc w:val="both"/>
        <w:rPr>
          <w:rFonts w:cstheme="minorHAnsi"/>
        </w:rPr>
      </w:pPr>
      <w:r w:rsidRPr="00367E58">
        <w:rPr>
          <w:rFonts w:cstheme="minorHAnsi"/>
        </w:rPr>
        <w:t xml:space="preserve">Please review your “existing consents” obtained for health research studies that are ongoing against the checklist contained in </w:t>
      </w:r>
      <w:r w:rsidRPr="00FD3D79">
        <w:rPr>
          <w:rFonts w:cstheme="minorHAnsi"/>
          <w:b/>
        </w:rPr>
        <w:t>Part 2</w:t>
      </w:r>
      <w:r w:rsidRPr="00367E58">
        <w:rPr>
          <w:rFonts w:cstheme="minorHAnsi"/>
        </w:rPr>
        <w:t xml:space="preserve"> to determine if you have explicit consent in line with the Health Research Regulations and GDPR.  </w:t>
      </w:r>
    </w:p>
    <w:p w14:paraId="76BF0106" w14:textId="33252DE3" w:rsidR="00002763" w:rsidRPr="00367E58" w:rsidRDefault="00002763" w:rsidP="00C7302B">
      <w:pPr>
        <w:jc w:val="both"/>
        <w:rPr>
          <w:rFonts w:cstheme="minorHAnsi"/>
        </w:rPr>
      </w:pPr>
      <w:r w:rsidRPr="00367E58">
        <w:rPr>
          <w:rFonts w:cstheme="minorHAnsi"/>
        </w:rPr>
        <w:t xml:space="preserve">You should be able to respond “yes” to all of the questions </w:t>
      </w:r>
      <w:r w:rsidR="00E30173" w:rsidRPr="00367E58">
        <w:rPr>
          <w:rFonts w:cstheme="minorHAnsi"/>
        </w:rPr>
        <w:t>set out in the checklist below</w:t>
      </w:r>
      <w:r w:rsidR="002F747B" w:rsidRPr="00367E58">
        <w:rPr>
          <w:rFonts w:cstheme="minorHAnsi"/>
        </w:rPr>
        <w:t xml:space="preserve">. </w:t>
      </w:r>
    </w:p>
    <w:p w14:paraId="18974B54" w14:textId="77777777" w:rsidR="00002763" w:rsidRPr="00367E58" w:rsidRDefault="00002763" w:rsidP="00C7302B">
      <w:pPr>
        <w:jc w:val="both"/>
        <w:rPr>
          <w:rFonts w:cstheme="minorHAnsi"/>
        </w:rPr>
      </w:pPr>
      <w:r w:rsidRPr="00367E58">
        <w:rPr>
          <w:rFonts w:cstheme="minorHAnsi"/>
        </w:rPr>
        <w:t xml:space="preserve">If you are not able to respond “yes” to each, please contact the Data Protection Officer at </w:t>
      </w:r>
      <w:hyperlink r:id="rId10" w:history="1">
        <w:r w:rsidRPr="00367E58">
          <w:rPr>
            <w:rStyle w:val="Hyperlink"/>
            <w:rFonts w:cstheme="minorHAnsi"/>
          </w:rPr>
          <w:t>dataprotection@tcd.ie</w:t>
        </w:r>
      </w:hyperlink>
      <w:r w:rsidRPr="00367E58">
        <w:rPr>
          <w:rFonts w:cstheme="minorHAnsi"/>
        </w:rPr>
        <w:t xml:space="preserve"> with a copy of this completed checklist detailing the question or questions below that you are unable to respond “yes” to.  The Data Protection Officer will assist you in determining whether you will need to re-consent data subjects or whether you will need to seek a consent declaration from the Health Research Consent Declaration Committee.  </w:t>
      </w:r>
    </w:p>
    <w:p w14:paraId="1B18388F" w14:textId="2CC0D50B" w:rsidR="00E30173" w:rsidRPr="00367E58" w:rsidRDefault="00002763" w:rsidP="00C7302B">
      <w:pPr>
        <w:jc w:val="both"/>
        <w:rPr>
          <w:rFonts w:cstheme="minorHAnsi"/>
        </w:rPr>
      </w:pPr>
      <w:r w:rsidRPr="00367E58">
        <w:rPr>
          <w:rFonts w:cstheme="minorHAnsi"/>
        </w:rPr>
        <w:t xml:space="preserve">The Health Research Board (HRB) have developed a helpful decision making tree to determine if you need to re-consent data subjects or if your research study will need to apply to the Heath Research Consent Declaration Committee for a consent declaration, please see </w:t>
      </w:r>
      <w:hyperlink r:id="rId11" w:history="1">
        <w:r w:rsidRPr="00367E58">
          <w:rPr>
            <w:rFonts w:cstheme="minorHAnsi"/>
            <w:color w:val="0000FF"/>
            <w:u w:val="single"/>
          </w:rPr>
          <w:t>https://hrcdc.ie/wp-content/uploads/2019/01/Decision_Tree_30072018.pdf</w:t>
        </w:r>
      </w:hyperlink>
      <w:r w:rsidRPr="00367E58">
        <w:rPr>
          <w:rFonts w:cstheme="minorHAnsi"/>
        </w:rPr>
        <w:t xml:space="preserve">. </w:t>
      </w:r>
    </w:p>
    <w:p w14:paraId="2A3E91A0" w14:textId="4875DF20" w:rsidR="00E30173" w:rsidRPr="00DD5610" w:rsidRDefault="00E30173" w:rsidP="00C7302B">
      <w:pPr>
        <w:jc w:val="both"/>
        <w:rPr>
          <w:rFonts w:cstheme="minorHAnsi"/>
          <w:b/>
          <w:i/>
        </w:rPr>
      </w:pPr>
      <w:r w:rsidRPr="00DD5610">
        <w:rPr>
          <w:rFonts w:cstheme="minorHAnsi"/>
          <w:b/>
          <w:i/>
        </w:rPr>
        <w:t>When is the deadline for making an application to Health Research Consent Declaration Committee?</w:t>
      </w:r>
    </w:p>
    <w:p w14:paraId="61F38EF1" w14:textId="77777777" w:rsidR="00F846AC" w:rsidRDefault="00E30173" w:rsidP="00C7302B">
      <w:pPr>
        <w:jc w:val="both"/>
        <w:rPr>
          <w:rFonts w:cstheme="minorHAnsi"/>
        </w:rPr>
        <w:sectPr w:rsidR="00F846AC">
          <w:pgSz w:w="11906" w:h="16838"/>
          <w:pgMar w:top="1440" w:right="1440" w:bottom="1440" w:left="1440" w:header="708" w:footer="708" w:gutter="0"/>
          <w:cols w:space="708"/>
          <w:docGrid w:linePitch="360"/>
        </w:sectPr>
      </w:pPr>
      <w:r w:rsidRPr="00367E58">
        <w:rPr>
          <w:rFonts w:cstheme="minorHAnsi"/>
        </w:rPr>
        <w:t xml:space="preserve">Applications under Regulation 6 of the Health Research Regulations should be made </w:t>
      </w:r>
      <w:r w:rsidRPr="00367E58">
        <w:rPr>
          <w:rFonts w:cstheme="minorHAnsi"/>
          <w:b/>
        </w:rPr>
        <w:t>before 7 July 2019</w:t>
      </w:r>
      <w:r w:rsidRPr="00367E58">
        <w:rPr>
          <w:rFonts w:cstheme="minorHAnsi"/>
        </w:rPr>
        <w:t xml:space="preserve">.  </w:t>
      </w:r>
    </w:p>
    <w:p w14:paraId="7CB9D871" w14:textId="60E8D5C7" w:rsidR="00E30173" w:rsidRPr="00367E58" w:rsidRDefault="00E30173" w:rsidP="00C7302B">
      <w:pPr>
        <w:jc w:val="both"/>
        <w:rPr>
          <w:rFonts w:cstheme="minorHAnsi"/>
        </w:rPr>
      </w:pPr>
      <w:r w:rsidRPr="00367E58">
        <w:rPr>
          <w:rFonts w:cstheme="minorHAnsi"/>
        </w:rPr>
        <w:lastRenderedPageBreak/>
        <w:t xml:space="preserve">The following key points should be noted: </w:t>
      </w:r>
    </w:p>
    <w:p w14:paraId="2870E8E3" w14:textId="4514B44D" w:rsidR="00E30173" w:rsidRPr="00367E58" w:rsidRDefault="00E30173" w:rsidP="00C7302B">
      <w:pPr>
        <w:pStyle w:val="ListParagraph"/>
        <w:numPr>
          <w:ilvl w:val="0"/>
          <w:numId w:val="12"/>
        </w:numPr>
        <w:spacing w:after="200" w:line="276" w:lineRule="auto"/>
        <w:jc w:val="both"/>
        <w:rPr>
          <w:rFonts w:cstheme="minorHAnsi"/>
          <w:color w:val="000000" w:themeColor="text1"/>
        </w:rPr>
      </w:pPr>
      <w:r w:rsidRPr="00367E58">
        <w:rPr>
          <w:rFonts w:cstheme="minorHAnsi"/>
          <w:color w:val="000000" w:themeColor="text1"/>
        </w:rPr>
        <w:t xml:space="preserve">After </w:t>
      </w:r>
      <w:r w:rsidRPr="00F846AC">
        <w:rPr>
          <w:rFonts w:cstheme="minorHAnsi"/>
          <w:b/>
          <w:color w:val="000000" w:themeColor="text1"/>
        </w:rPr>
        <w:t>7 August 2019</w:t>
      </w:r>
      <w:r w:rsidRPr="00367E58">
        <w:rPr>
          <w:rFonts w:cstheme="minorHAnsi"/>
          <w:color w:val="000000" w:themeColor="text1"/>
        </w:rPr>
        <w:t xml:space="preserve"> the requirement for explicit consent in relation to research falling under Regulation 6 will be fully in effect.</w:t>
      </w:r>
    </w:p>
    <w:p w14:paraId="0EA31FA3" w14:textId="6FB95944" w:rsidR="00E30173" w:rsidRPr="00367E58" w:rsidRDefault="00E30173" w:rsidP="00C7302B">
      <w:pPr>
        <w:pStyle w:val="ListParagraph"/>
        <w:numPr>
          <w:ilvl w:val="0"/>
          <w:numId w:val="12"/>
        </w:numPr>
        <w:spacing w:after="200" w:line="276" w:lineRule="auto"/>
        <w:jc w:val="both"/>
        <w:rPr>
          <w:rFonts w:cstheme="minorHAnsi"/>
          <w:color w:val="000000" w:themeColor="text1"/>
        </w:rPr>
      </w:pPr>
      <w:r w:rsidRPr="00367E58">
        <w:rPr>
          <w:rFonts w:cstheme="minorHAnsi"/>
          <w:color w:val="000000" w:themeColor="text1"/>
        </w:rPr>
        <w:t xml:space="preserve">Applications submitted to the HRCDC on or before </w:t>
      </w:r>
      <w:r w:rsidRPr="00F846AC">
        <w:rPr>
          <w:rFonts w:cstheme="minorHAnsi"/>
          <w:b/>
          <w:color w:val="000000" w:themeColor="text1"/>
        </w:rPr>
        <w:t>7 July 2019</w:t>
      </w:r>
      <w:r w:rsidRPr="00367E58">
        <w:rPr>
          <w:rFonts w:cstheme="minorHAnsi"/>
          <w:color w:val="000000" w:themeColor="text1"/>
        </w:rPr>
        <w:t xml:space="preserve">, will not be considered in breach of the requirement to have explicit consent in place, until such time as the Committee has made a decision on an application.  </w:t>
      </w:r>
      <w:r w:rsidRPr="00367E58">
        <w:rPr>
          <w:rFonts w:cstheme="minorHAnsi"/>
          <w:b/>
          <w:color w:val="000000" w:themeColor="text1"/>
        </w:rPr>
        <w:t>Accordingly, as a practical matter, all applications under Regulation 6 should be made before 7</w:t>
      </w:r>
      <w:r w:rsidR="00DF0286" w:rsidRPr="00367E58">
        <w:rPr>
          <w:rFonts w:cstheme="minorHAnsi"/>
          <w:b/>
          <w:color w:val="000000" w:themeColor="text1"/>
        </w:rPr>
        <w:t xml:space="preserve"> July</w:t>
      </w:r>
      <w:r w:rsidR="00367E58" w:rsidRPr="00367E58">
        <w:rPr>
          <w:rFonts w:cstheme="minorHAnsi"/>
          <w:b/>
          <w:color w:val="000000" w:themeColor="text1"/>
        </w:rPr>
        <w:t xml:space="preserve"> rather than after that date and before 7 August 2019. </w:t>
      </w:r>
    </w:p>
    <w:p w14:paraId="4E8730CA" w14:textId="77777777" w:rsidR="005D4986" w:rsidRDefault="00E30173" w:rsidP="00C7302B">
      <w:pPr>
        <w:pStyle w:val="ListParagraph"/>
        <w:numPr>
          <w:ilvl w:val="0"/>
          <w:numId w:val="12"/>
        </w:numPr>
        <w:spacing w:after="200" w:line="276" w:lineRule="auto"/>
        <w:jc w:val="both"/>
        <w:rPr>
          <w:rFonts w:cstheme="minorHAnsi"/>
          <w:color w:val="000000" w:themeColor="text1"/>
        </w:rPr>
      </w:pPr>
      <w:r w:rsidRPr="00367E58">
        <w:rPr>
          <w:rFonts w:cstheme="minorHAnsi"/>
          <w:color w:val="000000" w:themeColor="text1"/>
        </w:rPr>
        <w:t>The Committee will not be able to consider applications purporting to be made under Regulation 6 if they are submitted after 7 August 2019, since any such application would be breach of the requirement to have explicit consent in place by that date.</w:t>
      </w:r>
    </w:p>
    <w:p w14:paraId="4E538549" w14:textId="01A7B9E3" w:rsidR="009335DE" w:rsidRPr="00367E58" w:rsidRDefault="009335DE" w:rsidP="008A6DC9">
      <w:pPr>
        <w:spacing w:after="0" w:line="360" w:lineRule="auto"/>
        <w:jc w:val="both"/>
        <w:rPr>
          <w:rFonts w:cstheme="minorHAnsi"/>
          <w:b/>
          <w:sz w:val="28"/>
          <w:szCs w:val="28"/>
        </w:rPr>
      </w:pPr>
      <w:r w:rsidRPr="00367E58">
        <w:rPr>
          <w:rFonts w:cstheme="minorHAnsi"/>
          <w:b/>
          <w:sz w:val="28"/>
          <w:szCs w:val="28"/>
        </w:rPr>
        <w:t xml:space="preserve">PART </w:t>
      </w:r>
      <w:r w:rsidR="00002763" w:rsidRPr="00367E58">
        <w:rPr>
          <w:rFonts w:cstheme="minorHAnsi"/>
          <w:b/>
          <w:sz w:val="28"/>
          <w:szCs w:val="28"/>
        </w:rPr>
        <w:t>2</w:t>
      </w:r>
    </w:p>
    <w:p w14:paraId="65F60746" w14:textId="1B6314C4" w:rsidR="00C47512" w:rsidRPr="00367E58" w:rsidRDefault="005F3262" w:rsidP="00C7302B">
      <w:pPr>
        <w:jc w:val="both"/>
        <w:rPr>
          <w:rFonts w:cstheme="minorHAnsi"/>
          <w:b/>
        </w:rPr>
      </w:pPr>
      <w:r w:rsidRPr="00367E58">
        <w:rPr>
          <w:rFonts w:cstheme="minorHAnsi"/>
          <w:b/>
        </w:rPr>
        <w:t>What</w:t>
      </w:r>
      <w:r w:rsidR="001923AD" w:rsidRPr="00367E58">
        <w:rPr>
          <w:rFonts w:cstheme="minorHAnsi"/>
          <w:b/>
        </w:rPr>
        <w:t xml:space="preserve"> is required for</w:t>
      </w:r>
      <w:r w:rsidR="001B0785" w:rsidRPr="00367E58">
        <w:rPr>
          <w:rFonts w:cstheme="minorHAnsi"/>
          <w:b/>
        </w:rPr>
        <w:t xml:space="preserve"> “</w:t>
      </w:r>
      <w:r w:rsidRPr="00367E58">
        <w:rPr>
          <w:rFonts w:cstheme="minorHAnsi"/>
          <w:b/>
        </w:rPr>
        <w:t>explicit consent</w:t>
      </w:r>
      <w:r w:rsidR="001B0785" w:rsidRPr="00367E58">
        <w:rPr>
          <w:rFonts w:cstheme="minorHAnsi"/>
          <w:b/>
        </w:rPr>
        <w:t>”</w:t>
      </w:r>
      <w:r w:rsidR="00B47F69" w:rsidRPr="00367E58">
        <w:rPr>
          <w:rStyle w:val="FootnoteReference"/>
          <w:rFonts w:cstheme="minorHAnsi"/>
          <w:b/>
        </w:rPr>
        <w:footnoteReference w:id="3"/>
      </w:r>
      <w:r w:rsidRPr="00367E58">
        <w:rPr>
          <w:rFonts w:cstheme="minorHAnsi"/>
          <w:b/>
        </w:rPr>
        <w:t xml:space="preserve">? </w:t>
      </w:r>
    </w:p>
    <w:p w14:paraId="2A81E6C4" w14:textId="7497355D" w:rsidR="00C47512" w:rsidRPr="00367E58" w:rsidRDefault="00C47512" w:rsidP="00C7302B">
      <w:pPr>
        <w:jc w:val="both"/>
        <w:rPr>
          <w:rFonts w:cstheme="minorHAnsi"/>
        </w:rPr>
      </w:pPr>
      <w:r w:rsidRPr="00367E58">
        <w:rPr>
          <w:rFonts w:cstheme="minorHAnsi"/>
        </w:rPr>
        <w:t>Please note that the requirement for explicit consent is an additional safeguard which is required in order to be complia</w:t>
      </w:r>
      <w:r w:rsidR="001C2EDE" w:rsidRPr="00367E58">
        <w:rPr>
          <w:rFonts w:cstheme="minorHAnsi"/>
        </w:rPr>
        <w:t>nt with the Health Research Regulations</w:t>
      </w:r>
      <w:r w:rsidR="00F44D2A" w:rsidRPr="00367E58">
        <w:rPr>
          <w:rFonts w:cstheme="minorHAnsi"/>
        </w:rPr>
        <w:t xml:space="preserve">.  </w:t>
      </w:r>
      <w:r w:rsidRPr="00367E58">
        <w:rPr>
          <w:rFonts w:cstheme="minorHAnsi"/>
        </w:rPr>
        <w:t xml:space="preserve">You will also need a lawful </w:t>
      </w:r>
      <w:r w:rsidR="001C2EDE" w:rsidRPr="00367E58">
        <w:rPr>
          <w:rFonts w:cstheme="minorHAnsi"/>
        </w:rPr>
        <w:t xml:space="preserve">basis for the processing of personal data under Article 6 and Article 9 of the GDPR. </w:t>
      </w:r>
    </w:p>
    <w:p w14:paraId="5C53D453" w14:textId="2108C667" w:rsidR="00E30173" w:rsidRPr="00367E58" w:rsidRDefault="00E30173" w:rsidP="00C7302B">
      <w:pPr>
        <w:pStyle w:val="Heading1"/>
        <w:spacing w:line="360" w:lineRule="auto"/>
        <w:ind w:left="0"/>
        <w:jc w:val="both"/>
        <w:rPr>
          <w:rFonts w:asciiTheme="minorHAnsi" w:hAnsiTheme="minorHAnsi" w:cstheme="minorHAnsi"/>
          <w:b w:val="0"/>
          <w:color w:val="0070C0"/>
        </w:rPr>
      </w:pPr>
      <w:bookmarkStart w:id="0" w:name="_Toc9320057"/>
      <w:r w:rsidRPr="00367E58">
        <w:rPr>
          <w:rFonts w:asciiTheme="minorHAnsi" w:hAnsiTheme="minorHAnsi" w:cstheme="minorHAnsi"/>
          <w:b w:val="0"/>
          <w:color w:val="0070C0"/>
        </w:rPr>
        <w:t xml:space="preserve">Lawful Basis </w:t>
      </w:r>
      <w:r w:rsidR="003C060A" w:rsidRPr="00367E58">
        <w:rPr>
          <w:rFonts w:asciiTheme="minorHAnsi" w:hAnsiTheme="minorHAnsi" w:cstheme="minorHAnsi"/>
          <w:b w:val="0"/>
          <w:color w:val="0070C0"/>
        </w:rPr>
        <w:t xml:space="preserve">- </w:t>
      </w:r>
      <w:r w:rsidRPr="00367E58">
        <w:rPr>
          <w:rFonts w:asciiTheme="minorHAnsi" w:hAnsiTheme="minorHAnsi" w:cstheme="minorHAnsi"/>
          <w:b w:val="0"/>
          <w:color w:val="0070C0"/>
        </w:rPr>
        <w:t>Ordinary Personal Data</w:t>
      </w:r>
      <w:bookmarkEnd w:id="0"/>
      <w:r w:rsidRPr="00367E58">
        <w:rPr>
          <w:rFonts w:asciiTheme="minorHAnsi" w:hAnsiTheme="minorHAnsi" w:cstheme="minorHAnsi"/>
          <w:b w:val="0"/>
          <w:color w:val="0070C0"/>
        </w:rPr>
        <w:t xml:space="preserve"> </w:t>
      </w:r>
    </w:p>
    <w:p w14:paraId="2862D4EA" w14:textId="3C9F63D5" w:rsidR="00E30173" w:rsidRPr="00367E58" w:rsidRDefault="001C2EDE" w:rsidP="00C7302B">
      <w:pPr>
        <w:pStyle w:val="BodyText"/>
        <w:tabs>
          <w:tab w:val="left" w:pos="1276"/>
        </w:tabs>
        <w:spacing w:after="240"/>
        <w:ind w:right="200"/>
        <w:jc w:val="both"/>
        <w:rPr>
          <w:rFonts w:cstheme="minorHAnsi"/>
        </w:rPr>
      </w:pPr>
      <w:r w:rsidRPr="00367E58">
        <w:rPr>
          <w:rFonts w:cstheme="minorHAnsi"/>
        </w:rPr>
        <w:t xml:space="preserve">If </w:t>
      </w:r>
      <w:r w:rsidR="00E30173" w:rsidRPr="00367E58">
        <w:rPr>
          <w:rFonts w:cstheme="minorHAnsi"/>
        </w:rPr>
        <w:t>processing ‘Ordinary’ personal data</w:t>
      </w:r>
      <w:r w:rsidR="004138D7" w:rsidRPr="00367E58">
        <w:rPr>
          <w:rStyle w:val="FootnoteReference"/>
          <w:rFonts w:cstheme="minorHAnsi"/>
        </w:rPr>
        <w:footnoteReference w:id="4"/>
      </w:r>
      <w:r w:rsidR="00E30173" w:rsidRPr="00367E58">
        <w:rPr>
          <w:rFonts w:cstheme="minorHAnsi"/>
        </w:rPr>
        <w:t xml:space="preserve"> then you must satisfy at least </w:t>
      </w:r>
      <w:r w:rsidR="00E30173" w:rsidRPr="00367E58">
        <w:rPr>
          <w:rFonts w:cstheme="minorHAnsi"/>
          <w:u w:val="single"/>
        </w:rPr>
        <w:t>one</w:t>
      </w:r>
      <w:r w:rsidR="00E30173" w:rsidRPr="00367E58">
        <w:rPr>
          <w:rFonts w:cstheme="minorHAnsi"/>
        </w:rPr>
        <w:t xml:space="preserve"> of the lawful bases as set out under </w:t>
      </w:r>
      <w:hyperlink r:id="rId12" w:anchor="d1e1797-1-1" w:history="1">
        <w:r w:rsidR="00E30173" w:rsidRPr="00367E58">
          <w:rPr>
            <w:rStyle w:val="Hyperlink"/>
            <w:rFonts w:cstheme="minorHAnsi"/>
          </w:rPr>
          <w:t>Article 6 GDPR</w:t>
        </w:r>
      </w:hyperlink>
    </w:p>
    <w:p w14:paraId="1604A111" w14:textId="25DBA046" w:rsidR="00F44D2A" w:rsidRPr="00367E58" w:rsidRDefault="00F44D2A" w:rsidP="00C7302B">
      <w:pPr>
        <w:pStyle w:val="Heading1"/>
        <w:spacing w:line="360" w:lineRule="auto"/>
        <w:ind w:left="0"/>
        <w:jc w:val="both"/>
        <w:rPr>
          <w:rFonts w:asciiTheme="minorHAnsi" w:hAnsiTheme="minorHAnsi" w:cstheme="minorHAnsi"/>
          <w:b w:val="0"/>
          <w:color w:val="0070C0"/>
        </w:rPr>
      </w:pPr>
      <w:bookmarkStart w:id="1" w:name="_Toc9320058"/>
      <w:r w:rsidRPr="00367E58">
        <w:rPr>
          <w:rFonts w:asciiTheme="minorHAnsi" w:hAnsiTheme="minorHAnsi" w:cstheme="minorHAnsi"/>
          <w:b w:val="0"/>
          <w:color w:val="0070C0"/>
        </w:rPr>
        <w:t>Lawful Basis</w:t>
      </w:r>
      <w:r w:rsidR="003C060A" w:rsidRPr="00367E58">
        <w:rPr>
          <w:rFonts w:asciiTheme="minorHAnsi" w:hAnsiTheme="minorHAnsi" w:cstheme="minorHAnsi"/>
          <w:b w:val="0"/>
          <w:color w:val="0070C0"/>
        </w:rPr>
        <w:t xml:space="preserve"> - </w:t>
      </w:r>
      <w:r w:rsidRPr="00367E58">
        <w:rPr>
          <w:rFonts w:asciiTheme="minorHAnsi" w:hAnsiTheme="minorHAnsi" w:cstheme="minorHAnsi"/>
          <w:b w:val="0"/>
          <w:color w:val="0070C0"/>
        </w:rPr>
        <w:t>Special Category Data (Sensitive Personal Data</w:t>
      </w:r>
      <w:bookmarkEnd w:id="1"/>
      <w:r w:rsidRPr="00367E58">
        <w:rPr>
          <w:rFonts w:asciiTheme="minorHAnsi" w:hAnsiTheme="minorHAnsi" w:cstheme="minorHAnsi"/>
          <w:b w:val="0"/>
          <w:color w:val="0070C0"/>
        </w:rPr>
        <w:t>)</w:t>
      </w:r>
    </w:p>
    <w:p w14:paraId="77909728" w14:textId="49C5AB6F" w:rsidR="004138D7" w:rsidRDefault="00F44D2A" w:rsidP="001F7AFE">
      <w:pPr>
        <w:pStyle w:val="Heading1"/>
        <w:ind w:left="0"/>
        <w:jc w:val="both"/>
        <w:rPr>
          <w:rStyle w:val="Hyperlink"/>
          <w:rFonts w:asciiTheme="minorHAnsi" w:hAnsiTheme="minorHAnsi" w:cstheme="minorHAnsi"/>
          <w:b w:val="0"/>
        </w:rPr>
      </w:pPr>
      <w:r w:rsidRPr="00367E58">
        <w:rPr>
          <w:rFonts w:asciiTheme="minorHAnsi" w:hAnsiTheme="minorHAnsi" w:cstheme="minorHAnsi"/>
          <w:b w:val="0"/>
        </w:rPr>
        <w:t>If processing sensitive personal data</w:t>
      </w:r>
      <w:r w:rsidRPr="00367E58">
        <w:rPr>
          <w:rStyle w:val="FootnoteReference"/>
          <w:rFonts w:asciiTheme="minorHAnsi" w:hAnsiTheme="minorHAnsi" w:cstheme="minorHAnsi"/>
          <w:b w:val="0"/>
        </w:rPr>
        <w:footnoteReference w:id="5"/>
      </w:r>
      <w:r w:rsidRPr="00367E58">
        <w:rPr>
          <w:rFonts w:asciiTheme="minorHAnsi" w:hAnsiTheme="minorHAnsi" w:cstheme="minorHAnsi"/>
          <w:b w:val="0"/>
        </w:rPr>
        <w:t xml:space="preserve"> then, in addition to the Article 6 lawful basis, you must also satisfy one of the conditions as set out under </w:t>
      </w:r>
      <w:hyperlink r:id="rId13" w:anchor="d1e1797-1-1" w:history="1">
        <w:r w:rsidRPr="00367E58">
          <w:rPr>
            <w:rStyle w:val="Hyperlink"/>
            <w:rFonts w:asciiTheme="minorHAnsi" w:hAnsiTheme="minorHAnsi" w:cstheme="minorHAnsi"/>
            <w:b w:val="0"/>
          </w:rPr>
          <w:t>Article 9 GDPR</w:t>
        </w:r>
      </w:hyperlink>
    </w:p>
    <w:p w14:paraId="21777B47" w14:textId="77777777" w:rsidR="001F7AFE" w:rsidRPr="00367E58" w:rsidRDefault="001F7AFE" w:rsidP="001F7AFE">
      <w:pPr>
        <w:pStyle w:val="Heading1"/>
        <w:ind w:left="0"/>
        <w:jc w:val="both"/>
        <w:rPr>
          <w:rFonts w:asciiTheme="minorHAnsi" w:hAnsiTheme="minorHAnsi" w:cstheme="minorHAnsi"/>
          <w:b w:val="0"/>
        </w:rPr>
      </w:pPr>
    </w:p>
    <w:p w14:paraId="3093C37F" w14:textId="1107E95F" w:rsidR="004138D7" w:rsidRPr="00367E58" w:rsidRDefault="004138D7" w:rsidP="00C7302B">
      <w:pPr>
        <w:pStyle w:val="Heading1"/>
        <w:spacing w:line="360" w:lineRule="auto"/>
        <w:ind w:left="0"/>
        <w:jc w:val="both"/>
        <w:rPr>
          <w:rFonts w:asciiTheme="minorHAnsi" w:hAnsiTheme="minorHAnsi" w:cstheme="minorHAnsi"/>
          <w:b w:val="0"/>
          <w:color w:val="0070C0"/>
        </w:rPr>
      </w:pPr>
      <w:r w:rsidRPr="00367E58">
        <w:rPr>
          <w:rFonts w:asciiTheme="minorHAnsi" w:hAnsiTheme="minorHAnsi" w:cstheme="minorHAnsi"/>
          <w:b w:val="0"/>
          <w:color w:val="0070C0"/>
        </w:rPr>
        <w:t>Health Research Regulations - Explicit Consent required for Health Research</w:t>
      </w:r>
    </w:p>
    <w:p w14:paraId="5560C732" w14:textId="31E0B416" w:rsidR="004138D7" w:rsidRPr="00367E58" w:rsidRDefault="004138D7" w:rsidP="00C7302B">
      <w:pPr>
        <w:pStyle w:val="BodyText"/>
        <w:tabs>
          <w:tab w:val="left" w:pos="1276"/>
        </w:tabs>
        <w:spacing w:after="240"/>
        <w:ind w:right="200"/>
        <w:jc w:val="both"/>
        <w:rPr>
          <w:rFonts w:cstheme="minorHAnsi"/>
        </w:rPr>
      </w:pPr>
      <w:r w:rsidRPr="00367E58">
        <w:rPr>
          <w:rFonts w:cstheme="minorHAnsi"/>
        </w:rPr>
        <w:t xml:space="preserve">In addition to satisfying Articles 6 &amp; 9 GDPR requirements you must also obtain explicit consent for processing personal data for health research purposes. This mandatory requirement is set out under Regulation 3(1)(e) of the </w:t>
      </w:r>
      <w:hyperlink r:id="rId14" w:history="1">
        <w:r w:rsidRPr="00367E58">
          <w:rPr>
            <w:rStyle w:val="Hyperlink"/>
            <w:rFonts w:cstheme="minorHAnsi"/>
          </w:rPr>
          <w:t>2018 Health Research Regulations</w:t>
        </w:r>
      </w:hyperlink>
      <w:r w:rsidR="003C060A" w:rsidRPr="00367E58">
        <w:rPr>
          <w:rFonts w:cstheme="minorHAnsi"/>
        </w:rPr>
        <w:t>.</w:t>
      </w:r>
    </w:p>
    <w:p w14:paraId="78F9D541" w14:textId="7D312C60" w:rsidR="00EC6B80" w:rsidRPr="00367E58" w:rsidRDefault="00EC6B80" w:rsidP="00C7302B">
      <w:pPr>
        <w:pStyle w:val="Heading1"/>
        <w:spacing w:line="360" w:lineRule="auto"/>
        <w:ind w:left="0"/>
        <w:jc w:val="both"/>
        <w:rPr>
          <w:rFonts w:asciiTheme="minorHAnsi" w:hAnsiTheme="minorHAnsi" w:cstheme="minorHAnsi"/>
        </w:rPr>
      </w:pPr>
      <w:r w:rsidRPr="00367E58">
        <w:rPr>
          <w:rFonts w:asciiTheme="minorHAnsi" w:hAnsiTheme="minorHAnsi" w:cstheme="minorHAnsi"/>
        </w:rPr>
        <w:t>Explicit consent is informed conse</w:t>
      </w:r>
      <w:r w:rsidR="004138D7" w:rsidRPr="00367E58">
        <w:rPr>
          <w:rFonts w:asciiTheme="minorHAnsi" w:hAnsiTheme="minorHAnsi" w:cstheme="minorHAnsi"/>
        </w:rPr>
        <w:t>nt which is recorded/documented</w:t>
      </w:r>
      <w:r w:rsidRPr="00367E58">
        <w:rPr>
          <w:rFonts w:asciiTheme="minorHAnsi" w:hAnsiTheme="minorHAnsi" w:cstheme="minorHAnsi"/>
        </w:rPr>
        <w:t xml:space="preserve"> </w:t>
      </w:r>
    </w:p>
    <w:p w14:paraId="5612D182" w14:textId="2FE1A7E0" w:rsidR="00B47F69" w:rsidRPr="00367E58" w:rsidRDefault="00EC6B80" w:rsidP="00C7302B">
      <w:pPr>
        <w:jc w:val="both"/>
        <w:rPr>
          <w:rFonts w:cstheme="minorHAnsi"/>
        </w:rPr>
      </w:pPr>
      <w:r w:rsidRPr="00367E58">
        <w:rPr>
          <w:rFonts w:cstheme="minorHAnsi"/>
        </w:rPr>
        <w:t xml:space="preserve">In order for consent to be </w:t>
      </w:r>
      <w:r w:rsidR="005B1AAF" w:rsidRPr="00367E58">
        <w:rPr>
          <w:rFonts w:cstheme="minorHAnsi"/>
        </w:rPr>
        <w:t>vali</w:t>
      </w:r>
      <w:r w:rsidR="00680573" w:rsidRPr="00367E58">
        <w:rPr>
          <w:rFonts w:cstheme="minorHAnsi"/>
        </w:rPr>
        <w:t>d</w:t>
      </w:r>
      <w:r w:rsidRPr="00367E58">
        <w:rPr>
          <w:rFonts w:cstheme="minorHAnsi"/>
        </w:rPr>
        <w:t>, it must be</w:t>
      </w:r>
      <w:r w:rsidR="001C2EDE" w:rsidRPr="00367E58">
        <w:rPr>
          <w:rFonts w:cstheme="minorHAnsi"/>
        </w:rPr>
        <w:t xml:space="preserve">: </w:t>
      </w:r>
    </w:p>
    <w:p w14:paraId="06C10AE5" w14:textId="7D569EE9" w:rsidR="00B47F69" w:rsidRPr="00367E58" w:rsidRDefault="00B47F69" w:rsidP="00C7302B">
      <w:pPr>
        <w:pStyle w:val="ListParagraph"/>
        <w:numPr>
          <w:ilvl w:val="0"/>
          <w:numId w:val="3"/>
        </w:numPr>
        <w:jc w:val="both"/>
        <w:rPr>
          <w:rFonts w:cstheme="minorHAnsi"/>
        </w:rPr>
      </w:pPr>
      <w:r w:rsidRPr="00367E58">
        <w:rPr>
          <w:rFonts w:cstheme="minorHAnsi"/>
        </w:rPr>
        <w:t xml:space="preserve">Freely given; </w:t>
      </w:r>
      <w:r w:rsidR="00761BD7" w:rsidRPr="00367E58">
        <w:rPr>
          <w:rFonts w:cstheme="minorHAnsi"/>
        </w:rPr>
        <w:t xml:space="preserve"> </w:t>
      </w:r>
    </w:p>
    <w:p w14:paraId="36CB9642" w14:textId="7F1B5E08" w:rsidR="00B47F69" w:rsidRPr="00367E58" w:rsidRDefault="00B47F69" w:rsidP="00C7302B">
      <w:pPr>
        <w:pStyle w:val="ListParagraph"/>
        <w:numPr>
          <w:ilvl w:val="0"/>
          <w:numId w:val="3"/>
        </w:numPr>
        <w:jc w:val="both"/>
        <w:rPr>
          <w:rFonts w:cstheme="minorHAnsi"/>
        </w:rPr>
      </w:pPr>
      <w:r w:rsidRPr="00367E58">
        <w:rPr>
          <w:rFonts w:cstheme="minorHAnsi"/>
        </w:rPr>
        <w:t xml:space="preserve">Specific; </w:t>
      </w:r>
      <w:r w:rsidR="00EC6B80" w:rsidRPr="00367E58">
        <w:rPr>
          <w:rFonts w:cstheme="minorHAnsi"/>
        </w:rPr>
        <w:t xml:space="preserve"> </w:t>
      </w:r>
    </w:p>
    <w:p w14:paraId="3B503C1E" w14:textId="57F34FD1" w:rsidR="00B47F69" w:rsidRPr="00367E58" w:rsidRDefault="00B47F69" w:rsidP="00C7302B">
      <w:pPr>
        <w:pStyle w:val="ListParagraph"/>
        <w:numPr>
          <w:ilvl w:val="0"/>
          <w:numId w:val="3"/>
        </w:numPr>
        <w:jc w:val="both"/>
        <w:rPr>
          <w:rFonts w:cstheme="minorHAnsi"/>
        </w:rPr>
      </w:pPr>
      <w:r w:rsidRPr="00367E58">
        <w:rPr>
          <w:rFonts w:cstheme="minorHAnsi"/>
        </w:rPr>
        <w:t xml:space="preserve">Informed; </w:t>
      </w:r>
    </w:p>
    <w:p w14:paraId="37A9912E" w14:textId="6D0B2CBB" w:rsidR="00EC6B80" w:rsidRPr="00367E58" w:rsidRDefault="00680573" w:rsidP="00C7302B">
      <w:pPr>
        <w:pStyle w:val="ListParagraph"/>
        <w:numPr>
          <w:ilvl w:val="0"/>
          <w:numId w:val="3"/>
        </w:numPr>
        <w:jc w:val="both"/>
        <w:rPr>
          <w:rFonts w:cstheme="minorHAnsi"/>
        </w:rPr>
      </w:pPr>
      <w:r w:rsidRPr="00367E58">
        <w:rPr>
          <w:rFonts w:cstheme="minorHAnsi"/>
        </w:rPr>
        <w:t>U</w:t>
      </w:r>
      <w:r w:rsidR="00B47F69" w:rsidRPr="00367E58">
        <w:rPr>
          <w:rFonts w:cstheme="minorHAnsi"/>
        </w:rPr>
        <w:t>nambiguous</w:t>
      </w:r>
      <w:r w:rsidRPr="00367E58">
        <w:rPr>
          <w:rFonts w:cstheme="minorHAnsi"/>
        </w:rPr>
        <w:t xml:space="preserve">; </w:t>
      </w:r>
      <w:r w:rsidR="002F747B" w:rsidRPr="00367E58">
        <w:rPr>
          <w:rFonts w:cstheme="minorHAnsi"/>
        </w:rPr>
        <w:t xml:space="preserve">and </w:t>
      </w:r>
    </w:p>
    <w:p w14:paraId="01735806" w14:textId="0B1B9AD4" w:rsidR="00EC6B80" w:rsidRPr="00367E58" w:rsidRDefault="001C2EDE" w:rsidP="00C7302B">
      <w:pPr>
        <w:pStyle w:val="ListParagraph"/>
        <w:numPr>
          <w:ilvl w:val="0"/>
          <w:numId w:val="3"/>
        </w:numPr>
        <w:jc w:val="both"/>
        <w:rPr>
          <w:rFonts w:cstheme="minorHAnsi"/>
        </w:rPr>
      </w:pPr>
      <w:r w:rsidRPr="00367E58">
        <w:rPr>
          <w:rFonts w:cstheme="minorHAnsi"/>
        </w:rPr>
        <w:t>S</w:t>
      </w:r>
      <w:r w:rsidR="003C060A" w:rsidRPr="00367E58">
        <w:rPr>
          <w:rFonts w:cstheme="minorHAnsi"/>
        </w:rPr>
        <w:t>uch consent must be</w:t>
      </w:r>
      <w:r w:rsidR="00EC6B80" w:rsidRPr="00367E58">
        <w:rPr>
          <w:rFonts w:cstheme="minorHAnsi"/>
        </w:rPr>
        <w:t xml:space="preserve"> recorded by </w:t>
      </w:r>
      <w:r w:rsidR="00B47F69" w:rsidRPr="00367E58">
        <w:rPr>
          <w:rFonts w:cstheme="minorHAnsi"/>
        </w:rPr>
        <w:t>a statement or by a clear affirmative action</w:t>
      </w:r>
      <w:r w:rsidR="00EC6B80" w:rsidRPr="00367E58">
        <w:rPr>
          <w:rFonts w:cstheme="minorHAnsi"/>
        </w:rPr>
        <w:t>.</w:t>
      </w:r>
    </w:p>
    <w:p w14:paraId="3062AC55" w14:textId="6E96A9B2" w:rsidR="00D97A26" w:rsidRPr="00367E58" w:rsidRDefault="00761BD7" w:rsidP="00C7302B">
      <w:pPr>
        <w:jc w:val="both"/>
        <w:rPr>
          <w:rFonts w:cstheme="minorHAnsi"/>
        </w:rPr>
      </w:pPr>
      <w:r w:rsidRPr="00367E58">
        <w:rPr>
          <w:rFonts w:cstheme="minorHAnsi"/>
        </w:rPr>
        <w:t xml:space="preserve">Please see table below for guidance on each of these aspects of informed consent. </w:t>
      </w:r>
    </w:p>
    <w:p w14:paraId="5C4AC201" w14:textId="77777777" w:rsidR="00510A40" w:rsidRPr="00510A40" w:rsidRDefault="00510A40" w:rsidP="00510A40">
      <w:pPr>
        <w:spacing w:before="240"/>
        <w:jc w:val="both"/>
        <w:rPr>
          <w:rFonts w:cstheme="minorHAnsi"/>
          <w:b/>
          <w:sz w:val="24"/>
          <w:szCs w:val="24"/>
        </w:rPr>
      </w:pPr>
      <w:r w:rsidRPr="00510A40">
        <w:rPr>
          <w:rFonts w:cstheme="minorHAnsi"/>
          <w:b/>
          <w:sz w:val="24"/>
          <w:szCs w:val="24"/>
        </w:rPr>
        <w:lastRenderedPageBreak/>
        <w:t xml:space="preserve">Checklist to determine whether consent in is line with the GDPR and Health Research Regulations </w:t>
      </w:r>
    </w:p>
    <w:tbl>
      <w:tblPr>
        <w:tblStyle w:val="TableGrid2"/>
        <w:tblW w:w="9640" w:type="dxa"/>
        <w:tblInd w:w="-289" w:type="dxa"/>
        <w:tblLook w:val="04A0" w:firstRow="1" w:lastRow="0" w:firstColumn="1" w:lastColumn="0" w:noHBand="0" w:noVBand="1"/>
      </w:tblPr>
      <w:tblGrid>
        <w:gridCol w:w="8571"/>
        <w:gridCol w:w="1069"/>
      </w:tblGrid>
      <w:tr w:rsidR="008823DA" w:rsidRPr="00510A40" w14:paraId="272EA608" w14:textId="77777777" w:rsidTr="00F41208">
        <w:trPr>
          <w:trHeight w:val="406"/>
        </w:trPr>
        <w:tc>
          <w:tcPr>
            <w:tcW w:w="8571" w:type="dxa"/>
            <w:shd w:val="clear" w:color="auto" w:fill="0088EE"/>
          </w:tcPr>
          <w:p w14:paraId="3B0179FA" w14:textId="77777777" w:rsidR="00510A40" w:rsidRPr="00510A40" w:rsidRDefault="00510A40" w:rsidP="00510A40">
            <w:pPr>
              <w:spacing w:before="240" w:line="480" w:lineRule="auto"/>
              <w:ind w:left="323"/>
              <w:rPr>
                <w:rFonts w:cstheme="minorHAnsi"/>
                <w:b/>
                <w:color w:val="FFFFFF" w:themeColor="background1"/>
              </w:rPr>
            </w:pPr>
            <w:r w:rsidRPr="00510A40">
              <w:rPr>
                <w:rFonts w:cstheme="minorHAnsi"/>
                <w:b/>
                <w:color w:val="FFFFFF" w:themeColor="background1"/>
              </w:rPr>
              <w:t>GDPR Explicit Consent Requirements – Processing of Personal Data</w:t>
            </w:r>
          </w:p>
        </w:tc>
        <w:tc>
          <w:tcPr>
            <w:tcW w:w="1069" w:type="dxa"/>
            <w:shd w:val="clear" w:color="auto" w:fill="0088EE"/>
          </w:tcPr>
          <w:p w14:paraId="42B14EF3" w14:textId="0833E8BA" w:rsidR="00510A40" w:rsidRPr="00510A40" w:rsidRDefault="00510A40" w:rsidP="00F41208">
            <w:pPr>
              <w:spacing w:before="240" w:line="480" w:lineRule="auto"/>
              <w:ind w:left="-35" w:firstLine="75"/>
              <w:rPr>
                <w:rFonts w:cstheme="minorHAnsi"/>
                <w:b/>
                <w:color w:val="FFFFFF" w:themeColor="background1"/>
              </w:rPr>
            </w:pPr>
            <w:r w:rsidRPr="00510A40">
              <w:rPr>
                <w:rFonts w:cstheme="minorHAnsi"/>
                <w:b/>
                <w:color w:val="FFFFFF" w:themeColor="background1"/>
              </w:rPr>
              <w:t>Yes/No</w:t>
            </w:r>
          </w:p>
        </w:tc>
      </w:tr>
      <w:tr w:rsidR="00510A40" w:rsidRPr="00510A40" w14:paraId="31F113A7" w14:textId="77777777" w:rsidTr="00F41208">
        <w:tc>
          <w:tcPr>
            <w:tcW w:w="8571" w:type="dxa"/>
          </w:tcPr>
          <w:p w14:paraId="43A44E02" w14:textId="77777777" w:rsidR="00510A40" w:rsidRPr="00510A40" w:rsidRDefault="00510A40" w:rsidP="00510A40">
            <w:pPr>
              <w:numPr>
                <w:ilvl w:val="0"/>
                <w:numId w:val="16"/>
              </w:numPr>
              <w:spacing w:before="240"/>
              <w:ind w:right="318"/>
              <w:contextualSpacing/>
              <w:rPr>
                <w:rFonts w:cstheme="minorHAnsi"/>
                <w:b/>
              </w:rPr>
            </w:pPr>
            <w:r w:rsidRPr="00510A40">
              <w:rPr>
                <w:rFonts w:cstheme="minorHAnsi"/>
                <w:b/>
              </w:rPr>
              <w:t xml:space="preserve">Has the consent been freely given?  Have you informed the data subject that they have the option to withdraw their consent at any time if they so wish? </w:t>
            </w:r>
          </w:p>
          <w:p w14:paraId="1151790C" w14:textId="77777777" w:rsidR="00510A40" w:rsidRPr="00510A40" w:rsidRDefault="00510A40" w:rsidP="00510A40">
            <w:pPr>
              <w:ind w:left="720" w:right="318"/>
              <w:contextualSpacing/>
              <w:jc w:val="both"/>
              <w:rPr>
                <w:rFonts w:cstheme="minorHAnsi"/>
                <w:b/>
              </w:rPr>
            </w:pPr>
          </w:p>
          <w:p w14:paraId="7D9D7E6C" w14:textId="77777777" w:rsidR="00510A40" w:rsidRPr="00510A40" w:rsidRDefault="00510A40" w:rsidP="00510A40">
            <w:pPr>
              <w:numPr>
                <w:ilvl w:val="0"/>
                <w:numId w:val="17"/>
              </w:numPr>
              <w:spacing w:line="276" w:lineRule="auto"/>
              <w:ind w:right="318"/>
              <w:contextualSpacing/>
              <w:jc w:val="both"/>
              <w:rPr>
                <w:rFonts w:cstheme="minorHAnsi"/>
              </w:rPr>
            </w:pPr>
            <w:r w:rsidRPr="00510A40">
              <w:rPr>
                <w:rFonts w:cstheme="minorHAnsi"/>
              </w:rPr>
              <w:t>The element “free” implies real choice and control for data subjects.</w:t>
            </w:r>
          </w:p>
          <w:p w14:paraId="1E07F6DD" w14:textId="77777777" w:rsidR="00510A40" w:rsidRPr="00510A40" w:rsidRDefault="00510A40" w:rsidP="00510A40">
            <w:pPr>
              <w:numPr>
                <w:ilvl w:val="0"/>
                <w:numId w:val="17"/>
              </w:numPr>
              <w:spacing w:before="240" w:line="276" w:lineRule="auto"/>
              <w:ind w:right="318"/>
              <w:contextualSpacing/>
              <w:jc w:val="both"/>
              <w:rPr>
                <w:rFonts w:cstheme="minorHAnsi"/>
              </w:rPr>
            </w:pPr>
            <w:r w:rsidRPr="00510A40">
              <w:rPr>
                <w:rFonts w:cstheme="minorHAnsi"/>
              </w:rPr>
              <w:t xml:space="preserve">If the data subject has no real choice, feels compelled or coerced to consent in any way or if the data subject feels that if they do not consent their medical care or treatment may be affected in some way, then their consent will not be valid.  </w:t>
            </w:r>
          </w:p>
          <w:p w14:paraId="3296390E" w14:textId="77777777" w:rsidR="00510A40" w:rsidRPr="00510A40" w:rsidRDefault="00510A40" w:rsidP="00510A40">
            <w:pPr>
              <w:numPr>
                <w:ilvl w:val="0"/>
                <w:numId w:val="17"/>
              </w:numPr>
              <w:spacing w:before="240" w:line="276" w:lineRule="auto"/>
              <w:ind w:right="318"/>
              <w:contextualSpacing/>
              <w:jc w:val="both"/>
              <w:rPr>
                <w:rFonts w:cstheme="minorHAnsi"/>
              </w:rPr>
            </w:pPr>
            <w:r w:rsidRPr="00510A40">
              <w:rPr>
                <w:rFonts w:cstheme="minorHAnsi"/>
              </w:rPr>
              <w:t>We understand that given the relationship between a data subject and the medical/research team, this can be a difficult balance.  If your data subject is fully informed (see item 3), it will be easier to assess whether their consent is freely given.</w:t>
            </w:r>
          </w:p>
          <w:p w14:paraId="48178D7A" w14:textId="77777777" w:rsidR="00510A40" w:rsidRPr="00510A40" w:rsidRDefault="00510A40" w:rsidP="00510A40">
            <w:pPr>
              <w:numPr>
                <w:ilvl w:val="0"/>
                <w:numId w:val="17"/>
              </w:numPr>
              <w:spacing w:before="240" w:line="276" w:lineRule="auto"/>
              <w:ind w:right="318"/>
              <w:contextualSpacing/>
              <w:jc w:val="both"/>
              <w:rPr>
                <w:rFonts w:cstheme="minorHAnsi"/>
              </w:rPr>
            </w:pPr>
            <w:r w:rsidRPr="00510A40">
              <w:rPr>
                <w:rFonts w:cstheme="minorHAnsi"/>
              </w:rPr>
              <w:t>The data subject must be informed that they can withdraw their consent at any time without detriment. This should be highlighted from the outset so that the data subject does not feel under any obligation to continue against their wishes.</w:t>
            </w:r>
          </w:p>
          <w:p w14:paraId="4A9B4E6C" w14:textId="77777777" w:rsidR="00510A40" w:rsidRPr="00510A40" w:rsidRDefault="00510A40" w:rsidP="00510A40">
            <w:pPr>
              <w:jc w:val="both"/>
              <w:rPr>
                <w:rFonts w:cstheme="minorHAnsi"/>
              </w:rPr>
            </w:pPr>
          </w:p>
        </w:tc>
        <w:tc>
          <w:tcPr>
            <w:tcW w:w="1069" w:type="dxa"/>
          </w:tcPr>
          <w:p w14:paraId="431C5B8D" w14:textId="77777777" w:rsidR="00510A40" w:rsidRPr="00510A40" w:rsidRDefault="00510A40" w:rsidP="00510A40">
            <w:pPr>
              <w:jc w:val="both"/>
              <w:rPr>
                <w:rFonts w:cstheme="minorHAnsi"/>
              </w:rPr>
            </w:pPr>
          </w:p>
        </w:tc>
      </w:tr>
      <w:tr w:rsidR="00510A40" w:rsidRPr="00510A40" w14:paraId="74AD269D" w14:textId="77777777" w:rsidTr="00F41208">
        <w:tc>
          <w:tcPr>
            <w:tcW w:w="8571" w:type="dxa"/>
          </w:tcPr>
          <w:p w14:paraId="088BC8EF" w14:textId="77777777" w:rsidR="00510A40" w:rsidRPr="00510A40" w:rsidRDefault="00510A40" w:rsidP="00510A40">
            <w:pPr>
              <w:numPr>
                <w:ilvl w:val="0"/>
                <w:numId w:val="16"/>
              </w:numPr>
              <w:spacing w:before="240"/>
              <w:contextualSpacing/>
              <w:rPr>
                <w:rFonts w:cstheme="minorHAnsi"/>
                <w:b/>
              </w:rPr>
            </w:pPr>
            <w:r w:rsidRPr="00510A40">
              <w:rPr>
                <w:rFonts w:cstheme="minorHAnsi"/>
                <w:b/>
              </w:rPr>
              <w:t>Is the consent specific?</w:t>
            </w:r>
          </w:p>
          <w:p w14:paraId="75A83570" w14:textId="77777777" w:rsidR="00510A40" w:rsidRPr="00510A40" w:rsidRDefault="00510A40" w:rsidP="00510A40">
            <w:pPr>
              <w:jc w:val="both"/>
              <w:rPr>
                <w:rFonts w:cstheme="minorHAnsi"/>
                <w:b/>
              </w:rPr>
            </w:pPr>
          </w:p>
          <w:p w14:paraId="511707DE" w14:textId="77777777" w:rsidR="00510A40" w:rsidRPr="00510A40" w:rsidRDefault="00510A40" w:rsidP="00510A40">
            <w:pPr>
              <w:numPr>
                <w:ilvl w:val="0"/>
                <w:numId w:val="18"/>
              </w:numPr>
              <w:spacing w:line="276" w:lineRule="auto"/>
              <w:ind w:right="318"/>
              <w:contextualSpacing/>
              <w:jc w:val="both"/>
              <w:rPr>
                <w:rFonts w:cstheme="minorHAnsi"/>
              </w:rPr>
            </w:pPr>
            <w:r w:rsidRPr="00510A40">
              <w:rPr>
                <w:rFonts w:cstheme="minorHAnsi"/>
              </w:rPr>
              <w:t>The data subject should not be surprised by any use of their personal data, health data or any other sensitive data by the research team.</w:t>
            </w:r>
          </w:p>
          <w:p w14:paraId="7B95A4FD" w14:textId="77777777" w:rsidR="00510A40" w:rsidRPr="00510A40" w:rsidRDefault="00510A40" w:rsidP="00510A40">
            <w:pPr>
              <w:numPr>
                <w:ilvl w:val="0"/>
                <w:numId w:val="18"/>
              </w:numPr>
              <w:spacing w:line="276" w:lineRule="auto"/>
              <w:ind w:right="318"/>
              <w:contextualSpacing/>
              <w:jc w:val="both"/>
              <w:rPr>
                <w:rFonts w:cstheme="minorHAnsi"/>
              </w:rPr>
            </w:pPr>
            <w:r w:rsidRPr="00510A40">
              <w:rPr>
                <w:rFonts w:cstheme="minorHAnsi"/>
              </w:rPr>
              <w:t>Have all of the data controllers been clearly identified?</w:t>
            </w:r>
          </w:p>
          <w:p w14:paraId="36E779D8" w14:textId="77777777" w:rsidR="00510A40" w:rsidRPr="00510A40" w:rsidRDefault="00510A40" w:rsidP="00510A40">
            <w:pPr>
              <w:jc w:val="both"/>
              <w:rPr>
                <w:rFonts w:cstheme="minorHAnsi"/>
              </w:rPr>
            </w:pPr>
          </w:p>
        </w:tc>
        <w:tc>
          <w:tcPr>
            <w:tcW w:w="1069" w:type="dxa"/>
          </w:tcPr>
          <w:p w14:paraId="693A17BA" w14:textId="77777777" w:rsidR="00510A40" w:rsidRPr="00510A40" w:rsidRDefault="00510A40" w:rsidP="00510A40">
            <w:pPr>
              <w:jc w:val="both"/>
              <w:rPr>
                <w:rFonts w:cstheme="minorHAnsi"/>
              </w:rPr>
            </w:pPr>
          </w:p>
        </w:tc>
      </w:tr>
      <w:tr w:rsidR="00510A40" w:rsidRPr="00510A40" w14:paraId="6336A83D" w14:textId="77777777" w:rsidTr="00F41208">
        <w:tc>
          <w:tcPr>
            <w:tcW w:w="8571" w:type="dxa"/>
          </w:tcPr>
          <w:p w14:paraId="31AF5264" w14:textId="77777777" w:rsidR="00510A40" w:rsidRPr="00510A40" w:rsidRDefault="00510A40" w:rsidP="00510A40">
            <w:pPr>
              <w:numPr>
                <w:ilvl w:val="0"/>
                <w:numId w:val="16"/>
              </w:numPr>
              <w:spacing w:before="240"/>
              <w:contextualSpacing/>
              <w:rPr>
                <w:rFonts w:cstheme="minorHAnsi"/>
                <w:b/>
              </w:rPr>
            </w:pPr>
            <w:r w:rsidRPr="00510A40">
              <w:rPr>
                <w:rFonts w:cstheme="minorHAnsi"/>
                <w:b/>
              </w:rPr>
              <w:t>Is the consent informed?</w:t>
            </w:r>
          </w:p>
          <w:p w14:paraId="2DF89BD3" w14:textId="77777777" w:rsidR="00510A40" w:rsidRPr="00510A40" w:rsidRDefault="00510A40" w:rsidP="00510A40">
            <w:pPr>
              <w:jc w:val="both"/>
              <w:rPr>
                <w:rFonts w:cstheme="minorHAnsi"/>
                <w:b/>
              </w:rPr>
            </w:pPr>
          </w:p>
          <w:p w14:paraId="357EAACB" w14:textId="77777777" w:rsidR="00510A40" w:rsidRPr="00510A40" w:rsidRDefault="00510A40" w:rsidP="00510A40">
            <w:pPr>
              <w:numPr>
                <w:ilvl w:val="0"/>
                <w:numId w:val="18"/>
              </w:numPr>
              <w:spacing w:line="276" w:lineRule="auto"/>
              <w:ind w:right="318"/>
              <w:contextualSpacing/>
              <w:jc w:val="both"/>
              <w:rPr>
                <w:rFonts w:cstheme="minorHAnsi"/>
              </w:rPr>
            </w:pPr>
            <w:r w:rsidRPr="00510A40">
              <w:rPr>
                <w:rFonts w:cstheme="minorHAnsi"/>
              </w:rPr>
              <w:t xml:space="preserve">In order to be informed, the data subject should have enough information to be able to make their decision to consent or not. </w:t>
            </w:r>
          </w:p>
          <w:p w14:paraId="576B0FFA" w14:textId="77777777" w:rsidR="00510A40" w:rsidRPr="00510A40" w:rsidRDefault="00510A40" w:rsidP="00510A40">
            <w:pPr>
              <w:numPr>
                <w:ilvl w:val="0"/>
                <w:numId w:val="18"/>
              </w:numPr>
              <w:spacing w:before="240" w:line="276" w:lineRule="auto"/>
              <w:ind w:right="318"/>
              <w:contextualSpacing/>
              <w:jc w:val="both"/>
              <w:rPr>
                <w:rFonts w:cstheme="minorHAnsi"/>
              </w:rPr>
            </w:pPr>
            <w:r w:rsidRPr="00510A40">
              <w:rPr>
                <w:rFonts w:cstheme="minorHAnsi"/>
              </w:rPr>
              <w:t>Have you clearly stated what (type of) personal data will be collected and used? (e.g. names, addresses, blood type, medical condition, etc.).</w:t>
            </w:r>
          </w:p>
          <w:p w14:paraId="4150C8AE" w14:textId="77777777" w:rsidR="00510A40" w:rsidRPr="00510A40" w:rsidRDefault="00510A40" w:rsidP="00510A40">
            <w:pPr>
              <w:jc w:val="both"/>
              <w:rPr>
                <w:rFonts w:cstheme="minorHAnsi"/>
              </w:rPr>
            </w:pPr>
          </w:p>
        </w:tc>
        <w:tc>
          <w:tcPr>
            <w:tcW w:w="1069" w:type="dxa"/>
          </w:tcPr>
          <w:p w14:paraId="532F9367" w14:textId="77777777" w:rsidR="00510A40" w:rsidRPr="00510A40" w:rsidRDefault="00510A40" w:rsidP="00510A40">
            <w:pPr>
              <w:jc w:val="both"/>
              <w:rPr>
                <w:rFonts w:cstheme="minorHAnsi"/>
              </w:rPr>
            </w:pPr>
          </w:p>
        </w:tc>
      </w:tr>
      <w:tr w:rsidR="00510A40" w:rsidRPr="00510A40" w14:paraId="0E454191" w14:textId="77777777" w:rsidTr="00F41208">
        <w:trPr>
          <w:trHeight w:val="558"/>
        </w:trPr>
        <w:tc>
          <w:tcPr>
            <w:tcW w:w="8571" w:type="dxa"/>
          </w:tcPr>
          <w:p w14:paraId="42E1137D" w14:textId="77777777" w:rsidR="00510A40" w:rsidRPr="00510A40" w:rsidRDefault="00510A40" w:rsidP="00510A40">
            <w:pPr>
              <w:numPr>
                <w:ilvl w:val="0"/>
                <w:numId w:val="16"/>
              </w:numPr>
              <w:spacing w:before="240"/>
              <w:contextualSpacing/>
              <w:rPr>
                <w:rFonts w:cstheme="minorHAnsi"/>
                <w:b/>
              </w:rPr>
            </w:pPr>
            <w:r w:rsidRPr="00510A40">
              <w:rPr>
                <w:rFonts w:cstheme="minorHAnsi"/>
                <w:b/>
              </w:rPr>
              <w:t>The consent must be unambiguous</w:t>
            </w:r>
          </w:p>
          <w:p w14:paraId="4FB56864" w14:textId="77777777" w:rsidR="00510A40" w:rsidRPr="00510A40" w:rsidRDefault="00510A40" w:rsidP="00510A40">
            <w:pPr>
              <w:ind w:left="720"/>
              <w:contextualSpacing/>
              <w:jc w:val="both"/>
              <w:rPr>
                <w:rFonts w:cstheme="minorHAnsi"/>
                <w:b/>
              </w:rPr>
            </w:pPr>
          </w:p>
          <w:p w14:paraId="7D72B731" w14:textId="77777777" w:rsidR="00510A40" w:rsidRPr="00510A40" w:rsidRDefault="00510A40" w:rsidP="00510A40">
            <w:pPr>
              <w:numPr>
                <w:ilvl w:val="0"/>
                <w:numId w:val="19"/>
              </w:numPr>
              <w:spacing w:line="276" w:lineRule="auto"/>
              <w:ind w:right="318"/>
              <w:contextualSpacing/>
              <w:jc w:val="both"/>
              <w:rPr>
                <w:rFonts w:cstheme="minorHAnsi"/>
              </w:rPr>
            </w:pPr>
            <w:r w:rsidRPr="00510A40">
              <w:rPr>
                <w:rFonts w:cstheme="minorHAnsi"/>
              </w:rPr>
              <w:t>Consent requires a statement from the data subject or a clear affirmative act, which means that the data subject must have taken a deliberate action to specifically consent to the particular processing of the personal data. Is it obvious that the data subject has consented to the particular processing?</w:t>
            </w:r>
          </w:p>
          <w:p w14:paraId="34EABE19" w14:textId="77777777" w:rsidR="00510A40" w:rsidRPr="00510A40" w:rsidRDefault="00510A40" w:rsidP="00510A40">
            <w:pPr>
              <w:numPr>
                <w:ilvl w:val="0"/>
                <w:numId w:val="19"/>
              </w:numPr>
              <w:spacing w:line="276" w:lineRule="auto"/>
              <w:ind w:right="318"/>
              <w:contextualSpacing/>
              <w:jc w:val="both"/>
              <w:rPr>
                <w:rFonts w:cstheme="minorHAnsi"/>
              </w:rPr>
            </w:pPr>
            <w:r w:rsidRPr="00510A40">
              <w:rPr>
                <w:rFonts w:cstheme="minorHAnsi"/>
              </w:rPr>
              <w:t>You must demonstrate that consent has been given to a particular processing activity. Have you maintained a written record of the consent?</w:t>
            </w:r>
          </w:p>
          <w:p w14:paraId="2C8BA31E" w14:textId="77777777" w:rsidR="00510A40" w:rsidRPr="00510A40" w:rsidRDefault="00510A40" w:rsidP="00510A40">
            <w:pPr>
              <w:numPr>
                <w:ilvl w:val="0"/>
                <w:numId w:val="19"/>
              </w:numPr>
              <w:spacing w:line="276" w:lineRule="auto"/>
              <w:ind w:right="318"/>
              <w:contextualSpacing/>
              <w:jc w:val="both"/>
              <w:rPr>
                <w:rFonts w:cstheme="minorHAnsi"/>
              </w:rPr>
            </w:pPr>
            <w:r w:rsidRPr="00510A40">
              <w:rPr>
                <w:rFonts w:cstheme="minorHAnsi"/>
              </w:rPr>
              <w:t>The consent form should be signed by the data subject in order to remove all possible doubt.</w:t>
            </w:r>
            <w:r w:rsidRPr="00510A40">
              <w:rPr>
                <w:rFonts w:cstheme="minorHAnsi"/>
                <w:b/>
              </w:rPr>
              <w:t xml:space="preserve"> </w:t>
            </w:r>
          </w:p>
          <w:p w14:paraId="03FD8E2B" w14:textId="77777777" w:rsidR="00510A40" w:rsidRPr="00510A40" w:rsidRDefault="00510A40" w:rsidP="00510A40">
            <w:pPr>
              <w:jc w:val="both"/>
              <w:rPr>
                <w:rFonts w:cstheme="minorHAnsi"/>
                <w:b/>
              </w:rPr>
            </w:pPr>
          </w:p>
        </w:tc>
        <w:tc>
          <w:tcPr>
            <w:tcW w:w="1069" w:type="dxa"/>
          </w:tcPr>
          <w:p w14:paraId="3143BA0D" w14:textId="77777777" w:rsidR="00510A40" w:rsidRPr="00510A40" w:rsidRDefault="00510A40" w:rsidP="00510A40">
            <w:pPr>
              <w:jc w:val="both"/>
              <w:rPr>
                <w:rFonts w:cstheme="minorHAnsi"/>
              </w:rPr>
            </w:pPr>
          </w:p>
        </w:tc>
      </w:tr>
    </w:tbl>
    <w:p w14:paraId="68D387F3" w14:textId="77777777" w:rsidR="00510A40" w:rsidRDefault="00510A40" w:rsidP="00510A40">
      <w:pPr>
        <w:numPr>
          <w:ilvl w:val="0"/>
          <w:numId w:val="16"/>
        </w:numPr>
        <w:spacing w:before="240"/>
        <w:contextualSpacing/>
        <w:rPr>
          <w:rFonts w:cstheme="minorHAnsi"/>
          <w:b/>
        </w:rPr>
        <w:sectPr w:rsidR="00510A40" w:rsidSect="00510A40">
          <w:pgSz w:w="11906" w:h="16838"/>
          <w:pgMar w:top="1276" w:right="1440" w:bottom="1440" w:left="1440" w:header="708" w:footer="708" w:gutter="0"/>
          <w:cols w:space="708"/>
          <w:docGrid w:linePitch="360"/>
        </w:sectPr>
      </w:pPr>
    </w:p>
    <w:tbl>
      <w:tblPr>
        <w:tblStyle w:val="TableGrid2"/>
        <w:tblW w:w="10348" w:type="dxa"/>
        <w:tblInd w:w="-572" w:type="dxa"/>
        <w:tblLook w:val="04A0" w:firstRow="1" w:lastRow="0" w:firstColumn="1" w:lastColumn="0" w:noHBand="0" w:noVBand="1"/>
      </w:tblPr>
      <w:tblGrid>
        <w:gridCol w:w="9214"/>
        <w:gridCol w:w="1134"/>
      </w:tblGrid>
      <w:tr w:rsidR="00510A40" w:rsidRPr="00510A40" w14:paraId="3DDFC889" w14:textId="77777777" w:rsidTr="00510A40">
        <w:trPr>
          <w:trHeight w:val="558"/>
        </w:trPr>
        <w:tc>
          <w:tcPr>
            <w:tcW w:w="9214" w:type="dxa"/>
          </w:tcPr>
          <w:p w14:paraId="11F11E09" w14:textId="0F23BB42" w:rsidR="00510A40" w:rsidRPr="00510A40" w:rsidRDefault="00510A40" w:rsidP="00510A40">
            <w:pPr>
              <w:numPr>
                <w:ilvl w:val="0"/>
                <w:numId w:val="16"/>
              </w:numPr>
              <w:spacing w:before="240"/>
              <w:contextualSpacing/>
              <w:rPr>
                <w:rFonts w:cstheme="minorHAnsi"/>
                <w:b/>
              </w:rPr>
            </w:pPr>
            <w:r w:rsidRPr="00510A40">
              <w:rPr>
                <w:rFonts w:cstheme="minorHAnsi"/>
                <w:b/>
              </w:rPr>
              <w:lastRenderedPageBreak/>
              <w:t>Automated decision-making</w:t>
            </w:r>
          </w:p>
          <w:p w14:paraId="6A1A083F" w14:textId="77777777" w:rsidR="00510A40" w:rsidRPr="00510A40" w:rsidRDefault="00510A40" w:rsidP="00510A40">
            <w:pPr>
              <w:ind w:left="360"/>
              <w:jc w:val="both"/>
              <w:rPr>
                <w:rFonts w:cstheme="minorHAnsi"/>
              </w:rPr>
            </w:pPr>
          </w:p>
          <w:p w14:paraId="03BB55F2" w14:textId="77777777" w:rsidR="00510A40" w:rsidRPr="00510A40" w:rsidRDefault="00510A40" w:rsidP="00510A40">
            <w:pPr>
              <w:numPr>
                <w:ilvl w:val="0"/>
                <w:numId w:val="20"/>
              </w:numPr>
              <w:spacing w:line="276" w:lineRule="auto"/>
              <w:ind w:right="318"/>
              <w:contextualSpacing/>
              <w:jc w:val="both"/>
              <w:rPr>
                <w:rFonts w:cstheme="minorHAnsi"/>
              </w:rPr>
            </w:pPr>
            <w:r w:rsidRPr="00510A40">
              <w:rPr>
                <w:rFonts w:cstheme="minorHAnsi"/>
                <w:i/>
              </w:rPr>
              <w:t xml:space="preserve">If applicable </w:t>
            </w:r>
            <w:r w:rsidRPr="00510A40">
              <w:rPr>
                <w:rFonts w:cstheme="minorHAnsi"/>
              </w:rPr>
              <w:t xml:space="preserve"> Have you included information about the use of the data for automated decision-making in accordance with </w:t>
            </w:r>
            <w:hyperlink r:id="rId15" w:history="1">
              <w:r w:rsidRPr="00510A40">
                <w:rPr>
                  <w:rFonts w:cstheme="minorHAnsi"/>
                  <w:color w:val="0563C1" w:themeColor="hyperlink"/>
                  <w:u w:val="single"/>
                </w:rPr>
                <w:t>Article 22 (2)(c) GDPR</w:t>
              </w:r>
            </w:hyperlink>
            <w:r w:rsidRPr="00510A40">
              <w:rPr>
                <w:rFonts w:cstheme="minorHAnsi"/>
              </w:rPr>
              <w:t>? Processing is ‘automated’ where it is carried out without human intervention, and where it produces legal effects or significantly affects a data subject. Automated processing includes profiling.</w:t>
            </w:r>
          </w:p>
          <w:p w14:paraId="44DCDE76" w14:textId="77777777" w:rsidR="00510A40" w:rsidRPr="00510A40" w:rsidRDefault="00510A40" w:rsidP="00510A40">
            <w:pPr>
              <w:spacing w:before="240"/>
              <w:ind w:left="720"/>
              <w:contextualSpacing/>
              <w:rPr>
                <w:rFonts w:cstheme="minorHAnsi"/>
                <w:b/>
              </w:rPr>
            </w:pPr>
          </w:p>
        </w:tc>
        <w:tc>
          <w:tcPr>
            <w:tcW w:w="1134" w:type="dxa"/>
          </w:tcPr>
          <w:p w14:paraId="684F1B86" w14:textId="77777777" w:rsidR="00510A40" w:rsidRPr="00510A40" w:rsidRDefault="00510A40" w:rsidP="00510A40">
            <w:pPr>
              <w:jc w:val="both"/>
              <w:rPr>
                <w:rFonts w:cstheme="minorHAnsi"/>
              </w:rPr>
            </w:pPr>
          </w:p>
        </w:tc>
      </w:tr>
      <w:tr w:rsidR="00510A40" w:rsidRPr="00510A40" w14:paraId="0DF25AD5" w14:textId="77777777" w:rsidTr="00510A40">
        <w:trPr>
          <w:trHeight w:val="558"/>
        </w:trPr>
        <w:tc>
          <w:tcPr>
            <w:tcW w:w="9214" w:type="dxa"/>
          </w:tcPr>
          <w:p w14:paraId="4D1CF5FA" w14:textId="77777777" w:rsidR="00510A40" w:rsidRPr="00510A40" w:rsidRDefault="00510A40" w:rsidP="00510A40">
            <w:pPr>
              <w:numPr>
                <w:ilvl w:val="0"/>
                <w:numId w:val="16"/>
              </w:numPr>
              <w:spacing w:before="240"/>
              <w:contextualSpacing/>
              <w:rPr>
                <w:rFonts w:cstheme="minorHAnsi"/>
                <w:b/>
              </w:rPr>
            </w:pPr>
            <w:r w:rsidRPr="00510A40">
              <w:rPr>
                <w:rFonts w:cstheme="minorHAnsi"/>
                <w:b/>
              </w:rPr>
              <w:t>International data transfers</w:t>
            </w:r>
          </w:p>
          <w:p w14:paraId="6B15593A" w14:textId="77777777" w:rsidR="00510A40" w:rsidRPr="00510A40" w:rsidRDefault="00510A40" w:rsidP="00510A40">
            <w:pPr>
              <w:jc w:val="both"/>
              <w:rPr>
                <w:rFonts w:cstheme="minorHAnsi"/>
              </w:rPr>
            </w:pPr>
          </w:p>
          <w:p w14:paraId="2D0CE502" w14:textId="77777777" w:rsidR="00510A40" w:rsidRPr="00510A40" w:rsidRDefault="00510A40" w:rsidP="00510A40">
            <w:pPr>
              <w:numPr>
                <w:ilvl w:val="0"/>
                <w:numId w:val="20"/>
              </w:numPr>
              <w:spacing w:line="276" w:lineRule="auto"/>
              <w:ind w:right="318"/>
              <w:contextualSpacing/>
              <w:jc w:val="both"/>
              <w:rPr>
                <w:rFonts w:cstheme="minorHAnsi"/>
              </w:rPr>
            </w:pPr>
            <w:r w:rsidRPr="00510A40">
              <w:rPr>
                <w:rFonts w:cstheme="minorHAnsi"/>
                <w:i/>
              </w:rPr>
              <w:t>If applicable</w:t>
            </w:r>
            <w:r w:rsidRPr="00510A40">
              <w:rPr>
                <w:rFonts w:cstheme="minorHAnsi"/>
              </w:rPr>
              <w:t xml:space="preserve">   Have you included information on the possible risks of data transfers outside the EEA due to absence of an adequacy decision and of appropriate safeguards as described in Article 46? See: </w:t>
            </w:r>
            <w:hyperlink r:id="rId16" w:history="1">
              <w:r w:rsidRPr="00510A40">
                <w:rPr>
                  <w:rFonts w:cstheme="minorHAnsi"/>
                  <w:color w:val="0563C1" w:themeColor="hyperlink"/>
                  <w:u w:val="single"/>
                </w:rPr>
                <w:t>https://gdpr-info.eu/art-46-gdpr/</w:t>
              </w:r>
            </w:hyperlink>
          </w:p>
          <w:p w14:paraId="62BA3698" w14:textId="77777777" w:rsidR="00510A40" w:rsidRPr="00510A40" w:rsidRDefault="00510A40" w:rsidP="00510A40">
            <w:pPr>
              <w:spacing w:before="240"/>
              <w:ind w:left="720"/>
              <w:contextualSpacing/>
              <w:rPr>
                <w:rFonts w:cstheme="minorHAnsi"/>
                <w:b/>
              </w:rPr>
            </w:pPr>
          </w:p>
        </w:tc>
        <w:tc>
          <w:tcPr>
            <w:tcW w:w="1134" w:type="dxa"/>
          </w:tcPr>
          <w:p w14:paraId="1CCD6041" w14:textId="77777777" w:rsidR="00510A40" w:rsidRPr="00510A40" w:rsidRDefault="00510A40" w:rsidP="00510A40">
            <w:pPr>
              <w:jc w:val="both"/>
              <w:rPr>
                <w:rFonts w:cstheme="minorHAnsi"/>
              </w:rPr>
            </w:pPr>
          </w:p>
        </w:tc>
      </w:tr>
    </w:tbl>
    <w:p w14:paraId="6D0BB994" w14:textId="78A4B81E" w:rsidR="00116B8D" w:rsidRPr="00367E58" w:rsidRDefault="00116B8D" w:rsidP="00DA0784">
      <w:pPr>
        <w:jc w:val="both"/>
        <w:rPr>
          <w:rFonts w:cstheme="minorHAnsi"/>
        </w:rPr>
      </w:pPr>
      <w:bookmarkStart w:id="2" w:name="_GoBack"/>
      <w:bookmarkEnd w:id="2"/>
    </w:p>
    <w:sectPr w:rsidR="00116B8D" w:rsidRPr="00367E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3BB77" w14:textId="77777777" w:rsidR="0083364F" w:rsidRDefault="0083364F" w:rsidP="003F6936">
      <w:pPr>
        <w:spacing w:after="0" w:line="240" w:lineRule="auto"/>
      </w:pPr>
      <w:r>
        <w:separator/>
      </w:r>
    </w:p>
  </w:endnote>
  <w:endnote w:type="continuationSeparator" w:id="0">
    <w:p w14:paraId="0B6E1DF2" w14:textId="77777777" w:rsidR="0083364F" w:rsidRDefault="0083364F" w:rsidP="003F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446870"/>
      <w:docPartObj>
        <w:docPartGallery w:val="Page Numbers (Bottom of Page)"/>
        <w:docPartUnique/>
      </w:docPartObj>
    </w:sdtPr>
    <w:sdtEndPr>
      <w:rPr>
        <w:noProof/>
      </w:rPr>
    </w:sdtEndPr>
    <w:sdtContent>
      <w:p w14:paraId="42C92C04" w14:textId="1EB10B40" w:rsidR="00147246" w:rsidRDefault="00147246" w:rsidP="00147246">
        <w:pPr>
          <w:pStyle w:val="Footer"/>
          <w:jc w:val="center"/>
        </w:pPr>
        <w:r>
          <w:fldChar w:fldCharType="begin"/>
        </w:r>
        <w:r>
          <w:instrText xml:space="preserve"> PAGE   \* MERGEFORMAT </w:instrText>
        </w:r>
        <w:r>
          <w:fldChar w:fldCharType="separate"/>
        </w:r>
        <w:r w:rsidR="00C25273">
          <w:rPr>
            <w:noProof/>
          </w:rPr>
          <w:t>5</w:t>
        </w:r>
        <w:r>
          <w:rPr>
            <w:noProof/>
          </w:rPr>
          <w:fldChar w:fldCharType="end"/>
        </w:r>
      </w:p>
    </w:sdtContent>
  </w:sdt>
  <w:p w14:paraId="69F6BAE2" w14:textId="4259333A" w:rsidR="00147246" w:rsidRPr="00303266" w:rsidRDefault="00F95189">
    <w:pPr>
      <w:pStyle w:val="Footer"/>
      <w:rPr>
        <w:sz w:val="20"/>
        <w:szCs w:val="20"/>
      </w:rPr>
    </w:pPr>
    <w:r w:rsidRPr="00303266">
      <w:rPr>
        <w:sz w:val="20"/>
        <w:szCs w:val="20"/>
      </w:rPr>
      <w:t xml:space="preserve">Copyright </w:t>
    </w:r>
    <w:r w:rsidR="008E6FE1" w:rsidRPr="00303266">
      <w:rPr>
        <w:sz w:val="20"/>
        <w:szCs w:val="20"/>
      </w:rPr>
      <w:t>©</w:t>
    </w:r>
    <w:r w:rsidRPr="00303266">
      <w:rPr>
        <w:sz w:val="20"/>
        <w:szCs w:val="20"/>
      </w:rPr>
      <w:t xml:space="preserve"> 2019</w:t>
    </w:r>
    <w:r w:rsidR="00303266" w:rsidRPr="00303266">
      <w:rPr>
        <w:sz w:val="20"/>
        <w:szCs w:val="20"/>
      </w:rPr>
      <w:t>,</w:t>
    </w:r>
    <w:r w:rsidRPr="00303266">
      <w:rPr>
        <w:sz w:val="20"/>
        <w:szCs w:val="20"/>
      </w:rPr>
      <w:t xml:space="preserve"> Trinity College Dublin, the University of Dublin.  All rights reserved.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BED9B" w14:textId="77777777" w:rsidR="0083364F" w:rsidRDefault="0083364F" w:rsidP="003F6936">
      <w:pPr>
        <w:spacing w:after="0" w:line="240" w:lineRule="auto"/>
      </w:pPr>
      <w:r>
        <w:separator/>
      </w:r>
    </w:p>
  </w:footnote>
  <w:footnote w:type="continuationSeparator" w:id="0">
    <w:p w14:paraId="3B48BC4B" w14:textId="77777777" w:rsidR="0083364F" w:rsidRDefault="0083364F" w:rsidP="003F6936">
      <w:pPr>
        <w:spacing w:after="0" w:line="240" w:lineRule="auto"/>
      </w:pPr>
      <w:r>
        <w:continuationSeparator/>
      </w:r>
    </w:p>
  </w:footnote>
  <w:footnote w:id="1">
    <w:p w14:paraId="4B89C616" w14:textId="166C3962" w:rsidR="00451803" w:rsidRDefault="00451803">
      <w:pPr>
        <w:pStyle w:val="FootnoteText"/>
      </w:pPr>
      <w:r>
        <w:rPr>
          <w:rStyle w:val="FootnoteReference"/>
        </w:rPr>
        <w:footnoteRef/>
      </w:r>
      <w:r>
        <w:t xml:space="preserve"> </w:t>
      </w:r>
      <w:r w:rsidRPr="00DF0286">
        <w:t xml:space="preserve">A </w:t>
      </w:r>
      <w:r w:rsidR="005D6805" w:rsidRPr="00DF0286">
        <w:t xml:space="preserve">definition of Health Research can be found here </w:t>
      </w:r>
      <w:hyperlink r:id="rId1" w:history="1">
        <w:r w:rsidR="005D6805" w:rsidRPr="00DF0286">
          <w:rPr>
            <w:color w:val="0000FF"/>
            <w:u w:val="single"/>
          </w:rPr>
          <w:t>https://www.hrb.ie/funding/gdpr-guidance-for-researchers/gdpr-and-health-research/what-is-research/</w:t>
        </w:r>
      </w:hyperlink>
      <w:r w:rsidR="005D6805" w:rsidRPr="00DF0286">
        <w:t>.</w:t>
      </w:r>
      <w:r w:rsidR="005D6805">
        <w:rPr>
          <w:sz w:val="22"/>
          <w:szCs w:val="22"/>
        </w:rPr>
        <w:t xml:space="preserve"> </w:t>
      </w:r>
    </w:p>
  </w:footnote>
  <w:footnote w:id="2">
    <w:p w14:paraId="1367FCAB" w14:textId="77777777" w:rsidR="00451803" w:rsidRDefault="00451803" w:rsidP="00002763">
      <w:pPr>
        <w:pStyle w:val="FootnoteText"/>
      </w:pPr>
      <w:r>
        <w:rPr>
          <w:rStyle w:val="FootnoteReference"/>
        </w:rPr>
        <w:footnoteRef/>
      </w:r>
      <w:r>
        <w:t xml:space="preserve"> Please note that an extension of the transitional period deadline to the 7</w:t>
      </w:r>
      <w:r w:rsidRPr="00271397">
        <w:rPr>
          <w:vertAlign w:val="superscript"/>
        </w:rPr>
        <w:t>th</w:t>
      </w:r>
      <w:r>
        <w:t xml:space="preserve"> August 2019 has been agreed by the Department of Health (the “</w:t>
      </w:r>
      <w:r w:rsidRPr="005F3262">
        <w:rPr>
          <w:b/>
        </w:rPr>
        <w:t>DOH</w:t>
      </w:r>
      <w:r>
        <w:t xml:space="preserve">”), the DOH and the Data Protection Commission .  For further information please see </w:t>
      </w:r>
      <w:hyperlink r:id="rId2" w:history="1">
        <w:r>
          <w:rPr>
            <w:rStyle w:val="Hyperlink"/>
          </w:rPr>
          <w:t>https://hrcdc.ie/update-amendment-to-regulation-6-april-30th-deadline-for-explicit-consent/</w:t>
        </w:r>
      </w:hyperlink>
      <w:r w:rsidRPr="005F3262">
        <w:t>.</w:t>
      </w:r>
      <w:r>
        <w:rPr>
          <w:sz w:val="22"/>
          <w:szCs w:val="22"/>
        </w:rPr>
        <w:t xml:space="preserve"> </w:t>
      </w:r>
    </w:p>
  </w:footnote>
  <w:footnote w:id="3">
    <w:p w14:paraId="0D37DD1F" w14:textId="3F1C1245" w:rsidR="00451803" w:rsidRPr="00197476" w:rsidRDefault="00451803">
      <w:pPr>
        <w:pStyle w:val="FootnoteText"/>
        <w:rPr>
          <w:rFonts w:cstheme="minorHAnsi"/>
        </w:rPr>
      </w:pPr>
      <w:r w:rsidRPr="001C2EDE">
        <w:rPr>
          <w:rStyle w:val="FootnoteReference"/>
        </w:rPr>
        <w:footnoteRef/>
      </w:r>
      <w:r w:rsidRPr="001C2EDE">
        <w:t xml:space="preserve"> </w:t>
      </w:r>
      <w:r w:rsidRPr="00197476">
        <w:rPr>
          <w:rFonts w:cstheme="minorHAnsi"/>
        </w:rPr>
        <w:t>Article 4 (11) of GDPR and in accordance with guidelines on consent issued by the Article 29 Working Party – include link</w:t>
      </w:r>
      <w:r w:rsidR="002F747B" w:rsidRPr="00197476">
        <w:rPr>
          <w:rFonts w:cstheme="minorHAnsi"/>
        </w:rPr>
        <w:t xml:space="preserve">. </w:t>
      </w:r>
    </w:p>
  </w:footnote>
  <w:footnote w:id="4">
    <w:p w14:paraId="052BCE2A" w14:textId="798E8B5A" w:rsidR="004138D7" w:rsidRPr="00197476" w:rsidRDefault="004138D7">
      <w:pPr>
        <w:pStyle w:val="FootnoteText"/>
        <w:rPr>
          <w:rFonts w:cstheme="minorHAnsi"/>
        </w:rPr>
      </w:pPr>
      <w:r w:rsidRPr="00197476">
        <w:rPr>
          <w:rStyle w:val="FootnoteReference"/>
          <w:rFonts w:cstheme="minorHAnsi"/>
        </w:rPr>
        <w:footnoteRef/>
      </w:r>
      <w:r w:rsidRPr="00197476">
        <w:rPr>
          <w:rFonts w:cstheme="minorHAnsi"/>
        </w:rPr>
        <w:t xml:space="preserve">Please see Article 4(1) for a definition of Personal Data: </w:t>
      </w:r>
      <w:hyperlink r:id="rId3" w:history="1">
        <w:r w:rsidRPr="00197476">
          <w:rPr>
            <w:rFonts w:cstheme="minorHAnsi"/>
            <w:color w:val="0000FF"/>
            <w:u w:val="single"/>
          </w:rPr>
          <w:t>https://gdpr-info.eu/art-4-gdpr/</w:t>
        </w:r>
      </w:hyperlink>
    </w:p>
  </w:footnote>
  <w:footnote w:id="5">
    <w:p w14:paraId="34587379" w14:textId="42C10A09" w:rsidR="00F44D2A" w:rsidRDefault="00F44D2A">
      <w:pPr>
        <w:pStyle w:val="FootnoteText"/>
      </w:pPr>
      <w:r w:rsidRPr="00197476">
        <w:rPr>
          <w:rStyle w:val="FootnoteReference"/>
          <w:rFonts w:cstheme="minorHAnsi"/>
        </w:rPr>
        <w:footnoteRef/>
      </w:r>
      <w:r w:rsidRPr="00197476">
        <w:rPr>
          <w:rFonts w:cstheme="minorHAnsi"/>
        </w:rPr>
        <w:t xml:space="preserve"> Please see Article 9(1) of GDPR for a definition of special categories of personal data/sensitive personal data. </w:t>
      </w:r>
      <w:hyperlink r:id="rId4" w:history="1">
        <w:r w:rsidR="001C2EDE" w:rsidRPr="00197476">
          <w:rPr>
            <w:rFonts w:cstheme="minorHAnsi"/>
            <w:color w:val="0000FF"/>
            <w:u w:val="single"/>
          </w:rPr>
          <w:t>https://gdpr-info.eu/art-9-gdpr/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5CF2"/>
    <w:multiLevelType w:val="hybridMultilevel"/>
    <w:tmpl w:val="0D7CC222"/>
    <w:lvl w:ilvl="0" w:tplc="7018BF4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ED1ECE"/>
    <w:multiLevelType w:val="hybridMultilevel"/>
    <w:tmpl w:val="FD4272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620C4B"/>
    <w:multiLevelType w:val="hybridMultilevel"/>
    <w:tmpl w:val="323A59F0"/>
    <w:lvl w:ilvl="0" w:tplc="66B6D200">
      <w:start w:val="1"/>
      <w:numFmt w:val="bullet"/>
      <w:lvlText w:val="-"/>
      <w:lvlJc w:val="left"/>
      <w:pPr>
        <w:ind w:left="1167" w:hanging="360"/>
      </w:pPr>
      <w:rPr>
        <w:rFonts w:ascii="Sylfaen" w:hAnsi="Sylfaen" w:hint="default"/>
      </w:rPr>
    </w:lvl>
    <w:lvl w:ilvl="1" w:tplc="18090003" w:tentative="1">
      <w:start w:val="1"/>
      <w:numFmt w:val="bullet"/>
      <w:lvlText w:val="o"/>
      <w:lvlJc w:val="left"/>
      <w:pPr>
        <w:ind w:left="1887" w:hanging="360"/>
      </w:pPr>
      <w:rPr>
        <w:rFonts w:ascii="Courier New" w:hAnsi="Courier New" w:cs="Courier New" w:hint="default"/>
      </w:rPr>
    </w:lvl>
    <w:lvl w:ilvl="2" w:tplc="18090005" w:tentative="1">
      <w:start w:val="1"/>
      <w:numFmt w:val="bullet"/>
      <w:lvlText w:val=""/>
      <w:lvlJc w:val="left"/>
      <w:pPr>
        <w:ind w:left="2607" w:hanging="360"/>
      </w:pPr>
      <w:rPr>
        <w:rFonts w:ascii="Wingdings" w:hAnsi="Wingdings" w:hint="default"/>
      </w:rPr>
    </w:lvl>
    <w:lvl w:ilvl="3" w:tplc="18090001" w:tentative="1">
      <w:start w:val="1"/>
      <w:numFmt w:val="bullet"/>
      <w:lvlText w:val=""/>
      <w:lvlJc w:val="left"/>
      <w:pPr>
        <w:ind w:left="3327" w:hanging="360"/>
      </w:pPr>
      <w:rPr>
        <w:rFonts w:ascii="Symbol" w:hAnsi="Symbol" w:hint="default"/>
      </w:rPr>
    </w:lvl>
    <w:lvl w:ilvl="4" w:tplc="18090003" w:tentative="1">
      <w:start w:val="1"/>
      <w:numFmt w:val="bullet"/>
      <w:lvlText w:val="o"/>
      <w:lvlJc w:val="left"/>
      <w:pPr>
        <w:ind w:left="4047" w:hanging="360"/>
      </w:pPr>
      <w:rPr>
        <w:rFonts w:ascii="Courier New" w:hAnsi="Courier New" w:cs="Courier New" w:hint="default"/>
      </w:rPr>
    </w:lvl>
    <w:lvl w:ilvl="5" w:tplc="18090005" w:tentative="1">
      <w:start w:val="1"/>
      <w:numFmt w:val="bullet"/>
      <w:lvlText w:val=""/>
      <w:lvlJc w:val="left"/>
      <w:pPr>
        <w:ind w:left="4767" w:hanging="360"/>
      </w:pPr>
      <w:rPr>
        <w:rFonts w:ascii="Wingdings" w:hAnsi="Wingdings" w:hint="default"/>
      </w:rPr>
    </w:lvl>
    <w:lvl w:ilvl="6" w:tplc="18090001" w:tentative="1">
      <w:start w:val="1"/>
      <w:numFmt w:val="bullet"/>
      <w:lvlText w:val=""/>
      <w:lvlJc w:val="left"/>
      <w:pPr>
        <w:ind w:left="5487" w:hanging="360"/>
      </w:pPr>
      <w:rPr>
        <w:rFonts w:ascii="Symbol" w:hAnsi="Symbol" w:hint="default"/>
      </w:rPr>
    </w:lvl>
    <w:lvl w:ilvl="7" w:tplc="18090003" w:tentative="1">
      <w:start w:val="1"/>
      <w:numFmt w:val="bullet"/>
      <w:lvlText w:val="o"/>
      <w:lvlJc w:val="left"/>
      <w:pPr>
        <w:ind w:left="6207" w:hanging="360"/>
      </w:pPr>
      <w:rPr>
        <w:rFonts w:ascii="Courier New" w:hAnsi="Courier New" w:cs="Courier New" w:hint="default"/>
      </w:rPr>
    </w:lvl>
    <w:lvl w:ilvl="8" w:tplc="18090005" w:tentative="1">
      <w:start w:val="1"/>
      <w:numFmt w:val="bullet"/>
      <w:lvlText w:val=""/>
      <w:lvlJc w:val="left"/>
      <w:pPr>
        <w:ind w:left="6927" w:hanging="360"/>
      </w:pPr>
      <w:rPr>
        <w:rFonts w:ascii="Wingdings" w:hAnsi="Wingdings" w:hint="default"/>
      </w:rPr>
    </w:lvl>
  </w:abstractNum>
  <w:abstractNum w:abstractNumId="3" w15:restartNumberingAfterBreak="0">
    <w:nsid w:val="0B706C74"/>
    <w:multiLevelType w:val="hybridMultilevel"/>
    <w:tmpl w:val="F0B056A0"/>
    <w:lvl w:ilvl="0" w:tplc="66B6D200">
      <w:start w:val="1"/>
      <w:numFmt w:val="bullet"/>
      <w:lvlText w:val="-"/>
      <w:lvlJc w:val="left"/>
      <w:pPr>
        <w:ind w:left="1026" w:hanging="360"/>
      </w:pPr>
      <w:rPr>
        <w:rFonts w:ascii="Sylfaen" w:hAnsi="Sylfaen" w:hint="default"/>
      </w:rPr>
    </w:lvl>
    <w:lvl w:ilvl="1" w:tplc="18090003" w:tentative="1">
      <w:start w:val="1"/>
      <w:numFmt w:val="bullet"/>
      <w:lvlText w:val="o"/>
      <w:lvlJc w:val="left"/>
      <w:pPr>
        <w:ind w:left="1746" w:hanging="360"/>
      </w:pPr>
      <w:rPr>
        <w:rFonts w:ascii="Courier New" w:hAnsi="Courier New" w:cs="Courier New" w:hint="default"/>
      </w:rPr>
    </w:lvl>
    <w:lvl w:ilvl="2" w:tplc="18090005" w:tentative="1">
      <w:start w:val="1"/>
      <w:numFmt w:val="bullet"/>
      <w:lvlText w:val=""/>
      <w:lvlJc w:val="left"/>
      <w:pPr>
        <w:ind w:left="2466" w:hanging="360"/>
      </w:pPr>
      <w:rPr>
        <w:rFonts w:ascii="Wingdings" w:hAnsi="Wingdings" w:hint="default"/>
      </w:rPr>
    </w:lvl>
    <w:lvl w:ilvl="3" w:tplc="18090001" w:tentative="1">
      <w:start w:val="1"/>
      <w:numFmt w:val="bullet"/>
      <w:lvlText w:val=""/>
      <w:lvlJc w:val="left"/>
      <w:pPr>
        <w:ind w:left="3186" w:hanging="360"/>
      </w:pPr>
      <w:rPr>
        <w:rFonts w:ascii="Symbol" w:hAnsi="Symbol" w:hint="default"/>
      </w:rPr>
    </w:lvl>
    <w:lvl w:ilvl="4" w:tplc="18090003" w:tentative="1">
      <w:start w:val="1"/>
      <w:numFmt w:val="bullet"/>
      <w:lvlText w:val="o"/>
      <w:lvlJc w:val="left"/>
      <w:pPr>
        <w:ind w:left="3906" w:hanging="360"/>
      </w:pPr>
      <w:rPr>
        <w:rFonts w:ascii="Courier New" w:hAnsi="Courier New" w:cs="Courier New" w:hint="default"/>
      </w:rPr>
    </w:lvl>
    <w:lvl w:ilvl="5" w:tplc="18090005" w:tentative="1">
      <w:start w:val="1"/>
      <w:numFmt w:val="bullet"/>
      <w:lvlText w:val=""/>
      <w:lvlJc w:val="left"/>
      <w:pPr>
        <w:ind w:left="4626" w:hanging="360"/>
      </w:pPr>
      <w:rPr>
        <w:rFonts w:ascii="Wingdings" w:hAnsi="Wingdings" w:hint="default"/>
      </w:rPr>
    </w:lvl>
    <w:lvl w:ilvl="6" w:tplc="18090001" w:tentative="1">
      <w:start w:val="1"/>
      <w:numFmt w:val="bullet"/>
      <w:lvlText w:val=""/>
      <w:lvlJc w:val="left"/>
      <w:pPr>
        <w:ind w:left="5346" w:hanging="360"/>
      </w:pPr>
      <w:rPr>
        <w:rFonts w:ascii="Symbol" w:hAnsi="Symbol" w:hint="default"/>
      </w:rPr>
    </w:lvl>
    <w:lvl w:ilvl="7" w:tplc="18090003" w:tentative="1">
      <w:start w:val="1"/>
      <w:numFmt w:val="bullet"/>
      <w:lvlText w:val="o"/>
      <w:lvlJc w:val="left"/>
      <w:pPr>
        <w:ind w:left="6066" w:hanging="360"/>
      </w:pPr>
      <w:rPr>
        <w:rFonts w:ascii="Courier New" w:hAnsi="Courier New" w:cs="Courier New" w:hint="default"/>
      </w:rPr>
    </w:lvl>
    <w:lvl w:ilvl="8" w:tplc="18090005" w:tentative="1">
      <w:start w:val="1"/>
      <w:numFmt w:val="bullet"/>
      <w:lvlText w:val=""/>
      <w:lvlJc w:val="left"/>
      <w:pPr>
        <w:ind w:left="6786" w:hanging="360"/>
      </w:pPr>
      <w:rPr>
        <w:rFonts w:ascii="Wingdings" w:hAnsi="Wingdings" w:hint="default"/>
      </w:rPr>
    </w:lvl>
  </w:abstractNum>
  <w:abstractNum w:abstractNumId="4" w15:restartNumberingAfterBreak="0">
    <w:nsid w:val="16C12D46"/>
    <w:multiLevelType w:val="hybridMultilevel"/>
    <w:tmpl w:val="3CA85B42"/>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9C714C"/>
    <w:multiLevelType w:val="hybridMultilevel"/>
    <w:tmpl w:val="76E6ECD2"/>
    <w:lvl w:ilvl="0" w:tplc="66B6D200">
      <w:start w:val="1"/>
      <w:numFmt w:val="bullet"/>
      <w:lvlText w:val="-"/>
      <w:lvlJc w:val="left"/>
      <w:pPr>
        <w:ind w:left="1080" w:hanging="360"/>
      </w:pPr>
      <w:rPr>
        <w:rFonts w:ascii="Sylfaen" w:hAnsi="Sylfaen"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24CA1239"/>
    <w:multiLevelType w:val="hybridMultilevel"/>
    <w:tmpl w:val="FF4CC0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9C05A54"/>
    <w:multiLevelType w:val="hybridMultilevel"/>
    <w:tmpl w:val="D000387A"/>
    <w:lvl w:ilvl="0" w:tplc="66B6D200">
      <w:start w:val="1"/>
      <w:numFmt w:val="bullet"/>
      <w:lvlText w:val="-"/>
      <w:lvlJc w:val="left"/>
      <w:pPr>
        <w:ind w:left="1026" w:hanging="360"/>
      </w:pPr>
      <w:rPr>
        <w:rFonts w:ascii="Sylfaen" w:hAnsi="Sylfaen" w:hint="default"/>
      </w:rPr>
    </w:lvl>
    <w:lvl w:ilvl="1" w:tplc="18090003" w:tentative="1">
      <w:start w:val="1"/>
      <w:numFmt w:val="bullet"/>
      <w:lvlText w:val="o"/>
      <w:lvlJc w:val="left"/>
      <w:pPr>
        <w:ind w:left="1746" w:hanging="360"/>
      </w:pPr>
      <w:rPr>
        <w:rFonts w:ascii="Courier New" w:hAnsi="Courier New" w:cs="Courier New" w:hint="default"/>
      </w:rPr>
    </w:lvl>
    <w:lvl w:ilvl="2" w:tplc="18090005" w:tentative="1">
      <w:start w:val="1"/>
      <w:numFmt w:val="bullet"/>
      <w:lvlText w:val=""/>
      <w:lvlJc w:val="left"/>
      <w:pPr>
        <w:ind w:left="2466" w:hanging="360"/>
      </w:pPr>
      <w:rPr>
        <w:rFonts w:ascii="Wingdings" w:hAnsi="Wingdings" w:hint="default"/>
      </w:rPr>
    </w:lvl>
    <w:lvl w:ilvl="3" w:tplc="18090001" w:tentative="1">
      <w:start w:val="1"/>
      <w:numFmt w:val="bullet"/>
      <w:lvlText w:val=""/>
      <w:lvlJc w:val="left"/>
      <w:pPr>
        <w:ind w:left="3186" w:hanging="360"/>
      </w:pPr>
      <w:rPr>
        <w:rFonts w:ascii="Symbol" w:hAnsi="Symbol" w:hint="default"/>
      </w:rPr>
    </w:lvl>
    <w:lvl w:ilvl="4" w:tplc="18090003" w:tentative="1">
      <w:start w:val="1"/>
      <w:numFmt w:val="bullet"/>
      <w:lvlText w:val="o"/>
      <w:lvlJc w:val="left"/>
      <w:pPr>
        <w:ind w:left="3906" w:hanging="360"/>
      </w:pPr>
      <w:rPr>
        <w:rFonts w:ascii="Courier New" w:hAnsi="Courier New" w:cs="Courier New" w:hint="default"/>
      </w:rPr>
    </w:lvl>
    <w:lvl w:ilvl="5" w:tplc="18090005" w:tentative="1">
      <w:start w:val="1"/>
      <w:numFmt w:val="bullet"/>
      <w:lvlText w:val=""/>
      <w:lvlJc w:val="left"/>
      <w:pPr>
        <w:ind w:left="4626" w:hanging="360"/>
      </w:pPr>
      <w:rPr>
        <w:rFonts w:ascii="Wingdings" w:hAnsi="Wingdings" w:hint="default"/>
      </w:rPr>
    </w:lvl>
    <w:lvl w:ilvl="6" w:tplc="18090001" w:tentative="1">
      <w:start w:val="1"/>
      <w:numFmt w:val="bullet"/>
      <w:lvlText w:val=""/>
      <w:lvlJc w:val="left"/>
      <w:pPr>
        <w:ind w:left="5346" w:hanging="360"/>
      </w:pPr>
      <w:rPr>
        <w:rFonts w:ascii="Symbol" w:hAnsi="Symbol" w:hint="default"/>
      </w:rPr>
    </w:lvl>
    <w:lvl w:ilvl="7" w:tplc="18090003" w:tentative="1">
      <w:start w:val="1"/>
      <w:numFmt w:val="bullet"/>
      <w:lvlText w:val="o"/>
      <w:lvlJc w:val="left"/>
      <w:pPr>
        <w:ind w:left="6066" w:hanging="360"/>
      </w:pPr>
      <w:rPr>
        <w:rFonts w:ascii="Courier New" w:hAnsi="Courier New" w:cs="Courier New" w:hint="default"/>
      </w:rPr>
    </w:lvl>
    <w:lvl w:ilvl="8" w:tplc="18090005" w:tentative="1">
      <w:start w:val="1"/>
      <w:numFmt w:val="bullet"/>
      <w:lvlText w:val=""/>
      <w:lvlJc w:val="left"/>
      <w:pPr>
        <w:ind w:left="6786" w:hanging="360"/>
      </w:pPr>
      <w:rPr>
        <w:rFonts w:ascii="Wingdings" w:hAnsi="Wingdings" w:hint="default"/>
      </w:rPr>
    </w:lvl>
  </w:abstractNum>
  <w:abstractNum w:abstractNumId="8" w15:restartNumberingAfterBreak="0">
    <w:nsid w:val="2A4C617A"/>
    <w:multiLevelType w:val="hybridMultilevel"/>
    <w:tmpl w:val="A10E30C2"/>
    <w:lvl w:ilvl="0" w:tplc="9710C4F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1500212"/>
    <w:multiLevelType w:val="hybridMultilevel"/>
    <w:tmpl w:val="262EFF38"/>
    <w:lvl w:ilvl="0" w:tplc="66B6D200">
      <w:start w:val="1"/>
      <w:numFmt w:val="bullet"/>
      <w:lvlText w:val="-"/>
      <w:lvlJc w:val="left"/>
      <w:pPr>
        <w:ind w:left="1026" w:hanging="360"/>
      </w:pPr>
      <w:rPr>
        <w:rFonts w:ascii="Sylfaen" w:hAnsi="Sylfaen" w:hint="default"/>
      </w:rPr>
    </w:lvl>
    <w:lvl w:ilvl="1" w:tplc="18090003" w:tentative="1">
      <w:start w:val="1"/>
      <w:numFmt w:val="bullet"/>
      <w:lvlText w:val="o"/>
      <w:lvlJc w:val="left"/>
      <w:pPr>
        <w:ind w:left="1746" w:hanging="360"/>
      </w:pPr>
      <w:rPr>
        <w:rFonts w:ascii="Courier New" w:hAnsi="Courier New" w:cs="Courier New" w:hint="default"/>
      </w:rPr>
    </w:lvl>
    <w:lvl w:ilvl="2" w:tplc="18090005" w:tentative="1">
      <w:start w:val="1"/>
      <w:numFmt w:val="bullet"/>
      <w:lvlText w:val=""/>
      <w:lvlJc w:val="left"/>
      <w:pPr>
        <w:ind w:left="2466" w:hanging="360"/>
      </w:pPr>
      <w:rPr>
        <w:rFonts w:ascii="Wingdings" w:hAnsi="Wingdings" w:hint="default"/>
      </w:rPr>
    </w:lvl>
    <w:lvl w:ilvl="3" w:tplc="18090001" w:tentative="1">
      <w:start w:val="1"/>
      <w:numFmt w:val="bullet"/>
      <w:lvlText w:val=""/>
      <w:lvlJc w:val="left"/>
      <w:pPr>
        <w:ind w:left="3186" w:hanging="360"/>
      </w:pPr>
      <w:rPr>
        <w:rFonts w:ascii="Symbol" w:hAnsi="Symbol" w:hint="default"/>
      </w:rPr>
    </w:lvl>
    <w:lvl w:ilvl="4" w:tplc="18090003" w:tentative="1">
      <w:start w:val="1"/>
      <w:numFmt w:val="bullet"/>
      <w:lvlText w:val="o"/>
      <w:lvlJc w:val="left"/>
      <w:pPr>
        <w:ind w:left="3906" w:hanging="360"/>
      </w:pPr>
      <w:rPr>
        <w:rFonts w:ascii="Courier New" w:hAnsi="Courier New" w:cs="Courier New" w:hint="default"/>
      </w:rPr>
    </w:lvl>
    <w:lvl w:ilvl="5" w:tplc="18090005" w:tentative="1">
      <w:start w:val="1"/>
      <w:numFmt w:val="bullet"/>
      <w:lvlText w:val=""/>
      <w:lvlJc w:val="left"/>
      <w:pPr>
        <w:ind w:left="4626" w:hanging="360"/>
      </w:pPr>
      <w:rPr>
        <w:rFonts w:ascii="Wingdings" w:hAnsi="Wingdings" w:hint="default"/>
      </w:rPr>
    </w:lvl>
    <w:lvl w:ilvl="6" w:tplc="18090001" w:tentative="1">
      <w:start w:val="1"/>
      <w:numFmt w:val="bullet"/>
      <w:lvlText w:val=""/>
      <w:lvlJc w:val="left"/>
      <w:pPr>
        <w:ind w:left="5346" w:hanging="360"/>
      </w:pPr>
      <w:rPr>
        <w:rFonts w:ascii="Symbol" w:hAnsi="Symbol" w:hint="default"/>
      </w:rPr>
    </w:lvl>
    <w:lvl w:ilvl="7" w:tplc="18090003" w:tentative="1">
      <w:start w:val="1"/>
      <w:numFmt w:val="bullet"/>
      <w:lvlText w:val="o"/>
      <w:lvlJc w:val="left"/>
      <w:pPr>
        <w:ind w:left="6066" w:hanging="360"/>
      </w:pPr>
      <w:rPr>
        <w:rFonts w:ascii="Courier New" w:hAnsi="Courier New" w:cs="Courier New" w:hint="default"/>
      </w:rPr>
    </w:lvl>
    <w:lvl w:ilvl="8" w:tplc="18090005" w:tentative="1">
      <w:start w:val="1"/>
      <w:numFmt w:val="bullet"/>
      <w:lvlText w:val=""/>
      <w:lvlJc w:val="left"/>
      <w:pPr>
        <w:ind w:left="6786" w:hanging="360"/>
      </w:pPr>
      <w:rPr>
        <w:rFonts w:ascii="Wingdings" w:hAnsi="Wingdings" w:hint="default"/>
      </w:rPr>
    </w:lvl>
  </w:abstractNum>
  <w:abstractNum w:abstractNumId="10" w15:restartNumberingAfterBreak="0">
    <w:nsid w:val="39F7662E"/>
    <w:multiLevelType w:val="hybridMultilevel"/>
    <w:tmpl w:val="84B47E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C8F78E1"/>
    <w:multiLevelType w:val="hybridMultilevel"/>
    <w:tmpl w:val="55F880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11B711E"/>
    <w:multiLevelType w:val="hybridMultilevel"/>
    <w:tmpl w:val="A1DCEB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A655FF"/>
    <w:multiLevelType w:val="hybridMultilevel"/>
    <w:tmpl w:val="6CE28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E50BE0"/>
    <w:multiLevelType w:val="hybridMultilevel"/>
    <w:tmpl w:val="55F880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0387D56"/>
    <w:multiLevelType w:val="hybridMultilevel"/>
    <w:tmpl w:val="231682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3725C0"/>
    <w:multiLevelType w:val="hybridMultilevel"/>
    <w:tmpl w:val="EF10DF74"/>
    <w:lvl w:ilvl="0" w:tplc="95046436">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46B30F6"/>
    <w:multiLevelType w:val="hybridMultilevel"/>
    <w:tmpl w:val="277074E2"/>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E492B58"/>
    <w:multiLevelType w:val="multilevel"/>
    <w:tmpl w:val="359A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371676"/>
    <w:multiLevelType w:val="hybridMultilevel"/>
    <w:tmpl w:val="C83E670E"/>
    <w:lvl w:ilvl="0" w:tplc="EFA06F00">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8"/>
  </w:num>
  <w:num w:numId="3">
    <w:abstractNumId w:val="8"/>
  </w:num>
  <w:num w:numId="4">
    <w:abstractNumId w:val="13"/>
  </w:num>
  <w:num w:numId="5">
    <w:abstractNumId w:val="12"/>
  </w:num>
  <w:num w:numId="6">
    <w:abstractNumId w:val="15"/>
  </w:num>
  <w:num w:numId="7">
    <w:abstractNumId w:val="14"/>
  </w:num>
  <w:num w:numId="8">
    <w:abstractNumId w:val="6"/>
  </w:num>
  <w:num w:numId="9">
    <w:abstractNumId w:val="10"/>
  </w:num>
  <w:num w:numId="10">
    <w:abstractNumId w:val="16"/>
  </w:num>
  <w:num w:numId="11">
    <w:abstractNumId w:val="19"/>
  </w:num>
  <w:num w:numId="12">
    <w:abstractNumId w:val="1"/>
  </w:num>
  <w:num w:numId="13">
    <w:abstractNumId w:val="5"/>
  </w:num>
  <w:num w:numId="14">
    <w:abstractNumId w:val="17"/>
  </w:num>
  <w:num w:numId="15">
    <w:abstractNumId w:val="4"/>
  </w:num>
  <w:num w:numId="16">
    <w:abstractNumId w:val="0"/>
  </w:num>
  <w:num w:numId="17">
    <w:abstractNumId w:val="9"/>
  </w:num>
  <w:num w:numId="18">
    <w:abstractNumId w:val="3"/>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16"/>
    <w:rsid w:val="00002763"/>
    <w:rsid w:val="00020D74"/>
    <w:rsid w:val="00035B9E"/>
    <w:rsid w:val="00076629"/>
    <w:rsid w:val="0009467C"/>
    <w:rsid w:val="000B0ABE"/>
    <w:rsid w:val="000B59E6"/>
    <w:rsid w:val="000E79FB"/>
    <w:rsid w:val="000F7C8E"/>
    <w:rsid w:val="00106FC4"/>
    <w:rsid w:val="00116B8D"/>
    <w:rsid w:val="00117E37"/>
    <w:rsid w:val="0013413D"/>
    <w:rsid w:val="001405D6"/>
    <w:rsid w:val="00140923"/>
    <w:rsid w:val="00140B85"/>
    <w:rsid w:val="00147246"/>
    <w:rsid w:val="001509DB"/>
    <w:rsid w:val="0016255E"/>
    <w:rsid w:val="001644D3"/>
    <w:rsid w:val="0016749D"/>
    <w:rsid w:val="00184D16"/>
    <w:rsid w:val="00190CA2"/>
    <w:rsid w:val="001923AD"/>
    <w:rsid w:val="00193A1C"/>
    <w:rsid w:val="00197476"/>
    <w:rsid w:val="001A26C7"/>
    <w:rsid w:val="001A6BD2"/>
    <w:rsid w:val="001B0785"/>
    <w:rsid w:val="001C2EDE"/>
    <w:rsid w:val="001D7A10"/>
    <w:rsid w:val="001E0C35"/>
    <w:rsid w:val="001F0478"/>
    <w:rsid w:val="001F7AFE"/>
    <w:rsid w:val="002029D1"/>
    <w:rsid w:val="002044EC"/>
    <w:rsid w:val="0021186C"/>
    <w:rsid w:val="00214C2F"/>
    <w:rsid w:val="00220677"/>
    <w:rsid w:val="00227459"/>
    <w:rsid w:val="00231E8C"/>
    <w:rsid w:val="00260BF9"/>
    <w:rsid w:val="00267CB1"/>
    <w:rsid w:val="00271397"/>
    <w:rsid w:val="00280EAC"/>
    <w:rsid w:val="002855F9"/>
    <w:rsid w:val="00287AAF"/>
    <w:rsid w:val="00291C5B"/>
    <w:rsid w:val="00291FD6"/>
    <w:rsid w:val="002A026C"/>
    <w:rsid w:val="002B6EB8"/>
    <w:rsid w:val="002D1184"/>
    <w:rsid w:val="002F1D54"/>
    <w:rsid w:val="002F25C1"/>
    <w:rsid w:val="002F747B"/>
    <w:rsid w:val="0030221C"/>
    <w:rsid w:val="00303266"/>
    <w:rsid w:val="003050BE"/>
    <w:rsid w:val="00311ACF"/>
    <w:rsid w:val="003134D1"/>
    <w:rsid w:val="003158E2"/>
    <w:rsid w:val="003245E5"/>
    <w:rsid w:val="0033044E"/>
    <w:rsid w:val="00342340"/>
    <w:rsid w:val="00353460"/>
    <w:rsid w:val="00363F20"/>
    <w:rsid w:val="00367E58"/>
    <w:rsid w:val="003875B4"/>
    <w:rsid w:val="003A2823"/>
    <w:rsid w:val="003A4644"/>
    <w:rsid w:val="003A58E4"/>
    <w:rsid w:val="003A7233"/>
    <w:rsid w:val="003A75C5"/>
    <w:rsid w:val="003C060A"/>
    <w:rsid w:val="003C1259"/>
    <w:rsid w:val="003C3AD4"/>
    <w:rsid w:val="003C61B5"/>
    <w:rsid w:val="003D1DCF"/>
    <w:rsid w:val="003D7C10"/>
    <w:rsid w:val="003F6936"/>
    <w:rsid w:val="004138D7"/>
    <w:rsid w:val="0042029F"/>
    <w:rsid w:val="004271DD"/>
    <w:rsid w:val="00430C13"/>
    <w:rsid w:val="00431A89"/>
    <w:rsid w:val="00432156"/>
    <w:rsid w:val="00436C90"/>
    <w:rsid w:val="00451803"/>
    <w:rsid w:val="00452737"/>
    <w:rsid w:val="00464EA7"/>
    <w:rsid w:val="00473616"/>
    <w:rsid w:val="004838F9"/>
    <w:rsid w:val="00484106"/>
    <w:rsid w:val="004D1861"/>
    <w:rsid w:val="00503AC0"/>
    <w:rsid w:val="00510A40"/>
    <w:rsid w:val="005132C2"/>
    <w:rsid w:val="005420DE"/>
    <w:rsid w:val="005514B9"/>
    <w:rsid w:val="00595C6D"/>
    <w:rsid w:val="00596CDC"/>
    <w:rsid w:val="005A3E97"/>
    <w:rsid w:val="005B1AAF"/>
    <w:rsid w:val="005B7C48"/>
    <w:rsid w:val="005C7595"/>
    <w:rsid w:val="005D155E"/>
    <w:rsid w:val="005D4986"/>
    <w:rsid w:val="005D6805"/>
    <w:rsid w:val="005F3130"/>
    <w:rsid w:val="005F3262"/>
    <w:rsid w:val="00606E35"/>
    <w:rsid w:val="00617A46"/>
    <w:rsid w:val="00617D79"/>
    <w:rsid w:val="00627D8F"/>
    <w:rsid w:val="00666310"/>
    <w:rsid w:val="0067545B"/>
    <w:rsid w:val="0068022E"/>
    <w:rsid w:val="00680573"/>
    <w:rsid w:val="00697881"/>
    <w:rsid w:val="006978C5"/>
    <w:rsid w:val="006D38A3"/>
    <w:rsid w:val="006D6C4E"/>
    <w:rsid w:val="006D7983"/>
    <w:rsid w:val="006E4EA1"/>
    <w:rsid w:val="006E648B"/>
    <w:rsid w:val="006E6CE7"/>
    <w:rsid w:val="00700585"/>
    <w:rsid w:val="00710099"/>
    <w:rsid w:val="00716D38"/>
    <w:rsid w:val="00722FCF"/>
    <w:rsid w:val="007409A6"/>
    <w:rsid w:val="00761BD7"/>
    <w:rsid w:val="00792D7E"/>
    <w:rsid w:val="007D5CF7"/>
    <w:rsid w:val="007E6BC9"/>
    <w:rsid w:val="007F7560"/>
    <w:rsid w:val="00806A6A"/>
    <w:rsid w:val="00815816"/>
    <w:rsid w:val="0083364F"/>
    <w:rsid w:val="00836FAD"/>
    <w:rsid w:val="00850379"/>
    <w:rsid w:val="008823DA"/>
    <w:rsid w:val="00896BE2"/>
    <w:rsid w:val="00896F61"/>
    <w:rsid w:val="008A0B2C"/>
    <w:rsid w:val="008A49FC"/>
    <w:rsid w:val="008A6DC9"/>
    <w:rsid w:val="008B2DC2"/>
    <w:rsid w:val="008C364B"/>
    <w:rsid w:val="008D27E4"/>
    <w:rsid w:val="008D6602"/>
    <w:rsid w:val="008E2B6B"/>
    <w:rsid w:val="008E6FE1"/>
    <w:rsid w:val="00906062"/>
    <w:rsid w:val="009120FC"/>
    <w:rsid w:val="00922DF4"/>
    <w:rsid w:val="009335DE"/>
    <w:rsid w:val="00940B48"/>
    <w:rsid w:val="00941FB6"/>
    <w:rsid w:val="009816AA"/>
    <w:rsid w:val="00996BE5"/>
    <w:rsid w:val="009A0106"/>
    <w:rsid w:val="009A5DFA"/>
    <w:rsid w:val="009C034E"/>
    <w:rsid w:val="009C3B8D"/>
    <w:rsid w:val="009D0780"/>
    <w:rsid w:val="009D49D3"/>
    <w:rsid w:val="009D5ECB"/>
    <w:rsid w:val="009D64A2"/>
    <w:rsid w:val="009E5E47"/>
    <w:rsid w:val="009F23D0"/>
    <w:rsid w:val="00A06326"/>
    <w:rsid w:val="00A214F4"/>
    <w:rsid w:val="00A24B22"/>
    <w:rsid w:val="00A3530F"/>
    <w:rsid w:val="00A36470"/>
    <w:rsid w:val="00A428FF"/>
    <w:rsid w:val="00A43E74"/>
    <w:rsid w:val="00A47736"/>
    <w:rsid w:val="00A53F8B"/>
    <w:rsid w:val="00A5737E"/>
    <w:rsid w:val="00A57CC0"/>
    <w:rsid w:val="00A610FE"/>
    <w:rsid w:val="00A72BDE"/>
    <w:rsid w:val="00A802BD"/>
    <w:rsid w:val="00AA3748"/>
    <w:rsid w:val="00AF6D56"/>
    <w:rsid w:val="00B0200A"/>
    <w:rsid w:val="00B059AE"/>
    <w:rsid w:val="00B138B7"/>
    <w:rsid w:val="00B2424F"/>
    <w:rsid w:val="00B24528"/>
    <w:rsid w:val="00B45F7F"/>
    <w:rsid w:val="00B47F69"/>
    <w:rsid w:val="00B61F3A"/>
    <w:rsid w:val="00B678DB"/>
    <w:rsid w:val="00B95C66"/>
    <w:rsid w:val="00B97727"/>
    <w:rsid w:val="00BB1183"/>
    <w:rsid w:val="00BC37EF"/>
    <w:rsid w:val="00BE6B24"/>
    <w:rsid w:val="00BF6A71"/>
    <w:rsid w:val="00C15BCA"/>
    <w:rsid w:val="00C25273"/>
    <w:rsid w:val="00C4601F"/>
    <w:rsid w:val="00C47512"/>
    <w:rsid w:val="00C70970"/>
    <w:rsid w:val="00C7302B"/>
    <w:rsid w:val="00C73E7C"/>
    <w:rsid w:val="00C76794"/>
    <w:rsid w:val="00C815D5"/>
    <w:rsid w:val="00C81AC8"/>
    <w:rsid w:val="00C8311B"/>
    <w:rsid w:val="00CB0289"/>
    <w:rsid w:val="00CB255B"/>
    <w:rsid w:val="00CD2431"/>
    <w:rsid w:val="00CE2E44"/>
    <w:rsid w:val="00D13D9B"/>
    <w:rsid w:val="00D27D14"/>
    <w:rsid w:val="00D31DFD"/>
    <w:rsid w:val="00D4341D"/>
    <w:rsid w:val="00D44402"/>
    <w:rsid w:val="00D61E07"/>
    <w:rsid w:val="00D70D50"/>
    <w:rsid w:val="00D95087"/>
    <w:rsid w:val="00D97A26"/>
    <w:rsid w:val="00DA0784"/>
    <w:rsid w:val="00DA5ABC"/>
    <w:rsid w:val="00DA68F8"/>
    <w:rsid w:val="00DB5F0F"/>
    <w:rsid w:val="00DC5634"/>
    <w:rsid w:val="00DD5610"/>
    <w:rsid w:val="00DD6C65"/>
    <w:rsid w:val="00DD7EC7"/>
    <w:rsid w:val="00DE705A"/>
    <w:rsid w:val="00DE7AA1"/>
    <w:rsid w:val="00DF0286"/>
    <w:rsid w:val="00DF5D7D"/>
    <w:rsid w:val="00E01441"/>
    <w:rsid w:val="00E122F3"/>
    <w:rsid w:val="00E30173"/>
    <w:rsid w:val="00E361C0"/>
    <w:rsid w:val="00E501CF"/>
    <w:rsid w:val="00E67491"/>
    <w:rsid w:val="00E679F0"/>
    <w:rsid w:val="00E92776"/>
    <w:rsid w:val="00EA7198"/>
    <w:rsid w:val="00EC63A8"/>
    <w:rsid w:val="00EC6B80"/>
    <w:rsid w:val="00EF0232"/>
    <w:rsid w:val="00F263FA"/>
    <w:rsid w:val="00F3257E"/>
    <w:rsid w:val="00F41208"/>
    <w:rsid w:val="00F44D2A"/>
    <w:rsid w:val="00F45420"/>
    <w:rsid w:val="00F52820"/>
    <w:rsid w:val="00F64C63"/>
    <w:rsid w:val="00F846AC"/>
    <w:rsid w:val="00F9132D"/>
    <w:rsid w:val="00F95189"/>
    <w:rsid w:val="00FA7E94"/>
    <w:rsid w:val="00FB31ED"/>
    <w:rsid w:val="00FB3F6C"/>
    <w:rsid w:val="00FB4E56"/>
    <w:rsid w:val="00FC3EE1"/>
    <w:rsid w:val="00FC4396"/>
    <w:rsid w:val="00FC4A4A"/>
    <w:rsid w:val="00FD3D79"/>
    <w:rsid w:val="00FD6084"/>
    <w:rsid w:val="00FE1E99"/>
    <w:rsid w:val="00FE77B5"/>
    <w:rsid w:val="00FF1DD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F3C3C"/>
  <w15:docId w15:val="{3F6960E7-43C9-4520-AD4F-54AEC1F8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616"/>
  </w:style>
  <w:style w:type="paragraph" w:styleId="Heading1">
    <w:name w:val="heading 1"/>
    <w:basedOn w:val="Normal"/>
    <w:link w:val="Heading1Char"/>
    <w:uiPriority w:val="9"/>
    <w:qFormat/>
    <w:rsid w:val="00E30173"/>
    <w:pPr>
      <w:widowControl w:val="0"/>
      <w:autoSpaceDE w:val="0"/>
      <w:autoSpaceDN w:val="0"/>
      <w:spacing w:after="0" w:line="240" w:lineRule="auto"/>
      <w:ind w:left="464"/>
      <w:outlineLvl w:val="0"/>
    </w:pPr>
    <w:rPr>
      <w:rFonts w:ascii="Calibri" w:eastAsia="Calibri" w:hAnsi="Calibri" w:cs="Calibri"/>
      <w:b/>
      <w:bCs/>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5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8E4"/>
    <w:pPr>
      <w:ind w:left="720"/>
      <w:contextualSpacing/>
    </w:pPr>
  </w:style>
  <w:style w:type="character" w:styleId="Hyperlink">
    <w:name w:val="Hyperlink"/>
    <w:basedOn w:val="DefaultParagraphFont"/>
    <w:uiPriority w:val="99"/>
    <w:unhideWhenUsed/>
    <w:rsid w:val="00020D74"/>
    <w:rPr>
      <w:color w:val="0563C1" w:themeColor="hyperlink"/>
      <w:u w:val="single"/>
    </w:rPr>
  </w:style>
  <w:style w:type="character" w:customStyle="1" w:styleId="UnresolvedMention1">
    <w:name w:val="Unresolved Mention1"/>
    <w:basedOn w:val="DefaultParagraphFont"/>
    <w:uiPriority w:val="99"/>
    <w:semiHidden/>
    <w:unhideWhenUsed/>
    <w:rsid w:val="00020D74"/>
    <w:rPr>
      <w:color w:val="605E5C"/>
      <w:shd w:val="clear" w:color="auto" w:fill="E1DFDD"/>
    </w:rPr>
  </w:style>
  <w:style w:type="character" w:styleId="CommentReference">
    <w:name w:val="annotation reference"/>
    <w:basedOn w:val="DefaultParagraphFont"/>
    <w:uiPriority w:val="99"/>
    <w:semiHidden/>
    <w:unhideWhenUsed/>
    <w:rsid w:val="00BE6B24"/>
    <w:rPr>
      <w:sz w:val="16"/>
      <w:szCs w:val="16"/>
    </w:rPr>
  </w:style>
  <w:style w:type="paragraph" w:styleId="CommentText">
    <w:name w:val="annotation text"/>
    <w:basedOn w:val="Normal"/>
    <w:link w:val="CommentTextChar"/>
    <w:uiPriority w:val="99"/>
    <w:semiHidden/>
    <w:unhideWhenUsed/>
    <w:rsid w:val="00BE6B24"/>
    <w:pPr>
      <w:spacing w:line="240" w:lineRule="auto"/>
    </w:pPr>
    <w:rPr>
      <w:sz w:val="20"/>
      <w:szCs w:val="20"/>
    </w:rPr>
  </w:style>
  <w:style w:type="character" w:customStyle="1" w:styleId="CommentTextChar">
    <w:name w:val="Comment Text Char"/>
    <w:basedOn w:val="DefaultParagraphFont"/>
    <w:link w:val="CommentText"/>
    <w:uiPriority w:val="99"/>
    <w:semiHidden/>
    <w:rsid w:val="00BE6B24"/>
    <w:rPr>
      <w:sz w:val="20"/>
      <w:szCs w:val="20"/>
    </w:rPr>
  </w:style>
  <w:style w:type="paragraph" w:styleId="CommentSubject">
    <w:name w:val="annotation subject"/>
    <w:basedOn w:val="CommentText"/>
    <w:next w:val="CommentText"/>
    <w:link w:val="CommentSubjectChar"/>
    <w:uiPriority w:val="99"/>
    <w:semiHidden/>
    <w:unhideWhenUsed/>
    <w:rsid w:val="00BE6B24"/>
    <w:rPr>
      <w:b/>
      <w:bCs/>
    </w:rPr>
  </w:style>
  <w:style w:type="character" w:customStyle="1" w:styleId="CommentSubjectChar">
    <w:name w:val="Comment Subject Char"/>
    <w:basedOn w:val="CommentTextChar"/>
    <w:link w:val="CommentSubject"/>
    <w:uiPriority w:val="99"/>
    <w:semiHidden/>
    <w:rsid w:val="00BE6B24"/>
    <w:rPr>
      <w:b/>
      <w:bCs/>
      <w:sz w:val="20"/>
      <w:szCs w:val="20"/>
    </w:rPr>
  </w:style>
  <w:style w:type="paragraph" w:styleId="BalloonText">
    <w:name w:val="Balloon Text"/>
    <w:basedOn w:val="Normal"/>
    <w:link w:val="BalloonTextChar"/>
    <w:uiPriority w:val="99"/>
    <w:semiHidden/>
    <w:unhideWhenUsed/>
    <w:rsid w:val="00BE6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B24"/>
    <w:rPr>
      <w:rFonts w:ascii="Segoe UI" w:hAnsi="Segoe UI" w:cs="Segoe UI"/>
      <w:sz w:val="18"/>
      <w:szCs w:val="18"/>
    </w:rPr>
  </w:style>
  <w:style w:type="paragraph" w:styleId="BodyTextIndent">
    <w:name w:val="Body Text Indent"/>
    <w:basedOn w:val="Normal"/>
    <w:link w:val="BodyTextIndentChar"/>
    <w:rsid w:val="003F6936"/>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3F6936"/>
    <w:rPr>
      <w:rFonts w:ascii="Times New Roman" w:eastAsia="Times New Roman" w:hAnsi="Times New Roman" w:cs="Times New Roman"/>
      <w:i/>
      <w:sz w:val="24"/>
      <w:szCs w:val="20"/>
    </w:rPr>
  </w:style>
  <w:style w:type="paragraph" w:customStyle="1" w:styleId="Default">
    <w:name w:val="Default"/>
    <w:rsid w:val="003F6936"/>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FootnoteText">
    <w:name w:val="footnote text"/>
    <w:basedOn w:val="Normal"/>
    <w:link w:val="FootnoteTextChar"/>
    <w:uiPriority w:val="99"/>
    <w:semiHidden/>
    <w:unhideWhenUsed/>
    <w:rsid w:val="003F6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936"/>
    <w:rPr>
      <w:sz w:val="20"/>
      <w:szCs w:val="20"/>
    </w:rPr>
  </w:style>
  <w:style w:type="character" w:styleId="FootnoteReference">
    <w:name w:val="footnote reference"/>
    <w:basedOn w:val="DefaultParagraphFont"/>
    <w:uiPriority w:val="99"/>
    <w:semiHidden/>
    <w:unhideWhenUsed/>
    <w:rsid w:val="003F6936"/>
    <w:rPr>
      <w:vertAlign w:val="superscript"/>
    </w:rPr>
  </w:style>
  <w:style w:type="character" w:styleId="FollowedHyperlink">
    <w:name w:val="FollowedHyperlink"/>
    <w:basedOn w:val="DefaultParagraphFont"/>
    <w:uiPriority w:val="99"/>
    <w:semiHidden/>
    <w:unhideWhenUsed/>
    <w:rsid w:val="00BB1183"/>
    <w:rPr>
      <w:color w:val="954F72" w:themeColor="followedHyperlink"/>
      <w:u w:val="single"/>
    </w:rPr>
  </w:style>
  <w:style w:type="paragraph" w:styleId="Revision">
    <w:name w:val="Revision"/>
    <w:hidden/>
    <w:uiPriority w:val="99"/>
    <w:semiHidden/>
    <w:rsid w:val="001509DB"/>
    <w:pPr>
      <w:spacing w:after="0" w:line="240" w:lineRule="auto"/>
    </w:pPr>
  </w:style>
  <w:style w:type="paragraph" w:styleId="BodyText">
    <w:name w:val="Body Text"/>
    <w:basedOn w:val="Normal"/>
    <w:link w:val="BodyTextChar"/>
    <w:uiPriority w:val="99"/>
    <w:unhideWhenUsed/>
    <w:rsid w:val="00E30173"/>
    <w:pPr>
      <w:spacing w:after="120"/>
    </w:pPr>
  </w:style>
  <w:style w:type="character" w:customStyle="1" w:styleId="BodyTextChar">
    <w:name w:val="Body Text Char"/>
    <w:basedOn w:val="DefaultParagraphFont"/>
    <w:link w:val="BodyText"/>
    <w:uiPriority w:val="99"/>
    <w:rsid w:val="00E30173"/>
  </w:style>
  <w:style w:type="character" w:customStyle="1" w:styleId="Heading1Char">
    <w:name w:val="Heading 1 Char"/>
    <w:basedOn w:val="DefaultParagraphFont"/>
    <w:link w:val="Heading1"/>
    <w:uiPriority w:val="9"/>
    <w:rsid w:val="00E30173"/>
    <w:rPr>
      <w:rFonts w:ascii="Calibri" w:eastAsia="Calibri" w:hAnsi="Calibri" w:cs="Calibri"/>
      <w:b/>
      <w:bCs/>
      <w:lang w:eastAsia="en-IE" w:bidi="en-IE"/>
    </w:rPr>
  </w:style>
  <w:style w:type="table" w:styleId="GridTable6Colorful">
    <w:name w:val="Grid Table 6 Colorful"/>
    <w:basedOn w:val="TableNormal"/>
    <w:uiPriority w:val="51"/>
    <w:rsid w:val="00E3017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147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246"/>
  </w:style>
  <w:style w:type="paragraph" w:styleId="Footer">
    <w:name w:val="footer"/>
    <w:basedOn w:val="Normal"/>
    <w:link w:val="FooterChar"/>
    <w:uiPriority w:val="99"/>
    <w:unhideWhenUsed/>
    <w:rsid w:val="00147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246"/>
  </w:style>
  <w:style w:type="table" w:customStyle="1" w:styleId="TableGrid1">
    <w:name w:val="Table Grid1"/>
    <w:basedOn w:val="TableNormal"/>
    <w:next w:val="TableGrid"/>
    <w:uiPriority w:val="39"/>
    <w:rsid w:val="001F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10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lex.europa.eu/legal-content/EN/TXT/HTML/?uri=CELEX:32016R067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HTML/?uri=CELEX:32016R067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dpr-info.eu/art-46-gdp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cdc.ie/wp-content/uploads/2019/01/Decision_Tree_30072018.pdf" TargetMode="External"/><Relationship Id="rId5" Type="http://schemas.openxmlformats.org/officeDocument/2006/relationships/webSettings" Target="webSettings.xml"/><Relationship Id="rId15" Type="http://schemas.openxmlformats.org/officeDocument/2006/relationships/hyperlink" Target="https://gdpr-info.eu/art-22-gdpr/" TargetMode="External"/><Relationship Id="rId10" Type="http://schemas.openxmlformats.org/officeDocument/2006/relationships/hyperlink" Target="mailto:dataprotection@tcd.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rishstatutebook.ie/eli/2018/si/314/made/e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dpr-info.eu/art-4-gdpr/" TargetMode="External"/><Relationship Id="rId2" Type="http://schemas.openxmlformats.org/officeDocument/2006/relationships/hyperlink" Target="https://hrcdc.ie/update-amendment-to-regulation-6-april-30th-deadline-for-explicit-consent/" TargetMode="External"/><Relationship Id="rId1" Type="http://schemas.openxmlformats.org/officeDocument/2006/relationships/hyperlink" Target="https://www.hrb.ie/funding/gdpr-guidance-for-researchers/gdpr-and-health-research/what-is-research/" TargetMode="External"/><Relationship Id="rId4" Type="http://schemas.openxmlformats.org/officeDocument/2006/relationships/hyperlink" Target="https://gdpr-info.eu/art-9-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EEA59-457E-48AF-A58B-484C7147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Doherty</dc:creator>
  <cp:keywords/>
  <dc:description/>
  <cp:lastModifiedBy>Gavin Doherty</cp:lastModifiedBy>
  <cp:revision>3</cp:revision>
  <cp:lastPrinted>2019-05-21T17:04:00Z</cp:lastPrinted>
  <dcterms:created xsi:type="dcterms:W3CDTF">2020-07-01T13:53:00Z</dcterms:created>
  <dcterms:modified xsi:type="dcterms:W3CDTF">2020-07-01T13:54:00Z</dcterms:modified>
</cp:coreProperties>
</file>