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61FB" w14:textId="77777777" w:rsidR="00C573A7" w:rsidRDefault="008D4DDF" w:rsidP="00792986">
      <w:pPr>
        <w:rPr>
          <w:b/>
          <w:color w:val="000000" w:themeColor="text1"/>
          <w:sz w:val="40"/>
          <w:szCs w:val="40"/>
        </w:rPr>
      </w:pPr>
      <w:r w:rsidRPr="008D4DDF">
        <w:rPr>
          <w:b/>
          <w:color w:val="000000" w:themeColor="text1"/>
          <w:sz w:val="40"/>
          <w:szCs w:val="40"/>
        </w:rPr>
        <w:t xml:space="preserve">4 Year EU/UK Funded PhD: </w:t>
      </w:r>
    </w:p>
    <w:p w14:paraId="22FFEC6E" w14:textId="52E91361" w:rsidR="008D4DDF" w:rsidRDefault="008D4DDF" w:rsidP="00792986">
      <w:pPr>
        <w:rPr>
          <w:b/>
          <w:color w:val="000000" w:themeColor="text1"/>
          <w:sz w:val="40"/>
          <w:szCs w:val="40"/>
        </w:rPr>
      </w:pPr>
      <w:r w:rsidRPr="008D4DDF">
        <w:rPr>
          <w:b/>
          <w:color w:val="000000" w:themeColor="text1"/>
          <w:sz w:val="40"/>
          <w:szCs w:val="40"/>
        </w:rPr>
        <w:t xml:space="preserve">Soil Respiration Partitioning with Automated Root Measurements  </w:t>
      </w:r>
    </w:p>
    <w:p w14:paraId="128E4DC8" w14:textId="77777777" w:rsidR="008D4DDF" w:rsidRPr="008D4DDF" w:rsidRDefault="008D4DDF" w:rsidP="00792986">
      <w:pPr>
        <w:rPr>
          <w:b/>
          <w:color w:val="000000" w:themeColor="text1"/>
          <w:sz w:val="40"/>
          <w:szCs w:val="40"/>
        </w:rPr>
      </w:pPr>
    </w:p>
    <w:p w14:paraId="650D39A1" w14:textId="6613DC86" w:rsidR="00792986" w:rsidRPr="00A519F4" w:rsidRDefault="00792986" w:rsidP="00792986">
      <w:pPr>
        <w:rPr>
          <w:color w:val="000000" w:themeColor="text1"/>
        </w:rPr>
      </w:pPr>
      <w:r>
        <w:rPr>
          <w:b/>
          <w:color w:val="000000" w:themeColor="text1"/>
        </w:rPr>
        <w:t xml:space="preserve">Post Specification </w:t>
      </w:r>
      <w:r w:rsidRPr="00A519F4">
        <w:rPr>
          <w:color w:val="000000" w:themeColor="text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779"/>
        <w:gridCol w:w="6077"/>
      </w:tblGrid>
      <w:tr w:rsidR="00792986" w:rsidRPr="00A519F4" w14:paraId="50DAA027" w14:textId="77777777" w:rsidTr="00CD4D71">
        <w:trPr>
          <w:trHeight w:val="568"/>
          <w:jc w:val="center"/>
        </w:trPr>
        <w:tc>
          <w:tcPr>
            <w:tcW w:w="2779" w:type="dxa"/>
            <w:shd w:val="clear" w:color="auto" w:fill="E6E6E6"/>
            <w:vAlign w:val="center"/>
          </w:tcPr>
          <w:p w14:paraId="4768C668" w14:textId="77777777" w:rsidR="00792986" w:rsidRPr="00A519F4" w:rsidRDefault="00792986" w:rsidP="00CD4D71">
            <w:pPr>
              <w:rPr>
                <w:b/>
                <w:color w:val="000000" w:themeColor="text1"/>
              </w:rPr>
            </w:pPr>
            <w:r w:rsidRPr="00A519F4">
              <w:rPr>
                <w:b/>
                <w:color w:val="000000" w:themeColor="text1"/>
              </w:rPr>
              <w:t>Post Title:</w:t>
            </w:r>
          </w:p>
        </w:tc>
        <w:tc>
          <w:tcPr>
            <w:tcW w:w="6077" w:type="dxa"/>
            <w:shd w:val="clear" w:color="auto" w:fill="E6E6E6"/>
            <w:vAlign w:val="center"/>
          </w:tcPr>
          <w:p w14:paraId="1990535C" w14:textId="77777777" w:rsidR="00792986" w:rsidRPr="00EF7007" w:rsidRDefault="00792986" w:rsidP="00CD4D71">
            <w:pPr>
              <w:rPr>
                <w:bCs/>
                <w:color w:val="000000" w:themeColor="text1"/>
              </w:rPr>
            </w:pPr>
            <w:r w:rsidRPr="00EF7007">
              <w:rPr>
                <w:bCs/>
                <w:color w:val="000000" w:themeColor="text1"/>
              </w:rPr>
              <w:t>PhD Studentship</w:t>
            </w:r>
          </w:p>
        </w:tc>
      </w:tr>
      <w:tr w:rsidR="00792986" w:rsidRPr="00A519F4" w14:paraId="74287507" w14:textId="77777777" w:rsidTr="00CD4D71">
        <w:trPr>
          <w:trHeight w:val="568"/>
          <w:jc w:val="center"/>
        </w:trPr>
        <w:tc>
          <w:tcPr>
            <w:tcW w:w="2779" w:type="dxa"/>
            <w:shd w:val="clear" w:color="auto" w:fill="E6E6E6"/>
            <w:vAlign w:val="center"/>
          </w:tcPr>
          <w:p w14:paraId="6E3EC6B1" w14:textId="77777777" w:rsidR="00792986" w:rsidRPr="00A519F4" w:rsidRDefault="00792986" w:rsidP="00CD4D71">
            <w:pPr>
              <w:rPr>
                <w:b/>
                <w:color w:val="000000" w:themeColor="text1"/>
              </w:rPr>
            </w:pPr>
            <w:r w:rsidRPr="00A519F4">
              <w:rPr>
                <w:b/>
                <w:color w:val="000000" w:themeColor="text1"/>
              </w:rPr>
              <w:t>Post Status:</w:t>
            </w:r>
          </w:p>
        </w:tc>
        <w:tc>
          <w:tcPr>
            <w:tcW w:w="6077" w:type="dxa"/>
            <w:shd w:val="clear" w:color="auto" w:fill="E6E6E6"/>
            <w:vAlign w:val="center"/>
          </w:tcPr>
          <w:p w14:paraId="79595BEC" w14:textId="57A56CE6" w:rsidR="00792986" w:rsidRPr="00466B76" w:rsidRDefault="00792986" w:rsidP="00CD4D71">
            <w:pPr>
              <w:rPr>
                <w:bCs/>
                <w:color w:val="000000" w:themeColor="text1"/>
              </w:rPr>
            </w:pPr>
            <w:r>
              <w:rPr>
                <w:color w:val="000000" w:themeColor="text1"/>
              </w:rPr>
              <w:t>Full-time or Part-time.</w:t>
            </w:r>
          </w:p>
        </w:tc>
      </w:tr>
      <w:tr w:rsidR="00437F71" w:rsidRPr="00A519F4" w14:paraId="0C5DFBF4" w14:textId="77777777" w:rsidTr="00CD4D71">
        <w:trPr>
          <w:trHeight w:val="542"/>
          <w:jc w:val="center"/>
        </w:trPr>
        <w:tc>
          <w:tcPr>
            <w:tcW w:w="2779" w:type="dxa"/>
            <w:shd w:val="clear" w:color="auto" w:fill="E6E6E6"/>
            <w:vAlign w:val="center"/>
          </w:tcPr>
          <w:p w14:paraId="4F1E76F7" w14:textId="77777777" w:rsidR="00437F71" w:rsidRPr="00A519F4" w:rsidRDefault="00437F71" w:rsidP="00437F71">
            <w:pPr>
              <w:rPr>
                <w:b/>
                <w:color w:val="000000" w:themeColor="text1"/>
              </w:rPr>
            </w:pPr>
            <w:r>
              <w:rPr>
                <w:b/>
                <w:color w:val="000000" w:themeColor="text1"/>
              </w:rPr>
              <w:t>Research Group / Department / School:</w:t>
            </w:r>
          </w:p>
        </w:tc>
        <w:tc>
          <w:tcPr>
            <w:tcW w:w="6077" w:type="dxa"/>
            <w:shd w:val="clear" w:color="auto" w:fill="E6E6E6"/>
            <w:vAlign w:val="center"/>
          </w:tcPr>
          <w:p w14:paraId="5EC6D172" w14:textId="60826355" w:rsidR="00437F71" w:rsidRPr="00466B76" w:rsidRDefault="00437F71" w:rsidP="00437F71">
            <w:pPr>
              <w:rPr>
                <w:bCs/>
                <w:color w:val="000000" w:themeColor="text1"/>
              </w:rPr>
            </w:pPr>
            <w:r>
              <w:rPr>
                <w:color w:val="000000" w:themeColor="text1"/>
              </w:rPr>
              <w:t xml:space="preserve">Plant Soil Function Group, School of Natural Sciences, Discipline of Botany, </w:t>
            </w:r>
            <w:r w:rsidRPr="00466B76">
              <w:rPr>
                <w:color w:val="000000" w:themeColor="text1"/>
              </w:rPr>
              <w:t>Trinity College Dublin, the University of Dublin</w:t>
            </w:r>
          </w:p>
        </w:tc>
      </w:tr>
      <w:tr w:rsidR="00792986" w:rsidRPr="00A519F4" w14:paraId="30F723DA" w14:textId="77777777" w:rsidTr="00CD4D71">
        <w:trPr>
          <w:trHeight w:val="568"/>
          <w:jc w:val="center"/>
        </w:trPr>
        <w:tc>
          <w:tcPr>
            <w:tcW w:w="2779" w:type="dxa"/>
            <w:shd w:val="clear" w:color="auto" w:fill="E6E6E6"/>
            <w:vAlign w:val="center"/>
          </w:tcPr>
          <w:p w14:paraId="0C976495" w14:textId="77777777" w:rsidR="00792986" w:rsidRPr="00A519F4" w:rsidRDefault="00792986" w:rsidP="00CD4D71">
            <w:pPr>
              <w:rPr>
                <w:b/>
                <w:color w:val="000000" w:themeColor="text1"/>
              </w:rPr>
            </w:pPr>
            <w:r w:rsidRPr="00A519F4">
              <w:rPr>
                <w:b/>
                <w:color w:val="000000" w:themeColor="text1"/>
              </w:rPr>
              <w:t>Location:</w:t>
            </w:r>
          </w:p>
        </w:tc>
        <w:tc>
          <w:tcPr>
            <w:tcW w:w="6077" w:type="dxa"/>
            <w:shd w:val="clear" w:color="auto" w:fill="E6E6E6"/>
            <w:vAlign w:val="center"/>
          </w:tcPr>
          <w:p w14:paraId="26FA70A9" w14:textId="245529C0" w:rsidR="00792986" w:rsidRPr="00466B76" w:rsidRDefault="00437F71" w:rsidP="00CD4D71">
            <w:pPr>
              <w:rPr>
                <w:bCs/>
                <w:color w:val="000000" w:themeColor="text1"/>
              </w:rPr>
            </w:pPr>
            <w:r>
              <w:rPr>
                <w:color w:val="000000" w:themeColor="text1"/>
              </w:rPr>
              <w:t>Botany Building</w:t>
            </w:r>
            <w:r w:rsidR="00792986" w:rsidRPr="00466B76">
              <w:rPr>
                <w:color w:val="000000" w:themeColor="text1"/>
              </w:rPr>
              <w:t xml:space="preserve"> </w:t>
            </w:r>
            <w:r w:rsidR="00792986">
              <w:rPr>
                <w:color w:val="000000" w:themeColor="text1"/>
              </w:rPr>
              <w:br/>
            </w:r>
            <w:r w:rsidR="00792986" w:rsidRPr="00466B76">
              <w:rPr>
                <w:color w:val="000000" w:themeColor="text1"/>
              </w:rPr>
              <w:t>Trinity College Dublin, the University of Dublin</w:t>
            </w:r>
          </w:p>
          <w:p w14:paraId="70C0D6A3" w14:textId="77777777" w:rsidR="00792986" w:rsidRPr="00466B76" w:rsidRDefault="00792986" w:rsidP="00CD4D71">
            <w:pPr>
              <w:rPr>
                <w:bCs/>
                <w:color w:val="000000" w:themeColor="text1"/>
              </w:rPr>
            </w:pPr>
            <w:r w:rsidRPr="00466B76">
              <w:rPr>
                <w:color w:val="000000" w:themeColor="text1"/>
              </w:rPr>
              <w:t>College Green, Dublin 2, Ireland</w:t>
            </w:r>
          </w:p>
        </w:tc>
      </w:tr>
      <w:tr w:rsidR="00792986" w:rsidRPr="00A519F4" w14:paraId="418EDBFE" w14:textId="77777777" w:rsidTr="00CD4D71">
        <w:trPr>
          <w:trHeight w:val="568"/>
          <w:jc w:val="center"/>
        </w:trPr>
        <w:tc>
          <w:tcPr>
            <w:tcW w:w="2779" w:type="dxa"/>
            <w:shd w:val="clear" w:color="auto" w:fill="E6E6E6"/>
            <w:vAlign w:val="center"/>
          </w:tcPr>
          <w:p w14:paraId="142726C2" w14:textId="77777777" w:rsidR="00792986" w:rsidRPr="00A519F4" w:rsidRDefault="00792986" w:rsidP="00CD4D71">
            <w:pPr>
              <w:rPr>
                <w:b/>
                <w:color w:val="000000" w:themeColor="text1"/>
              </w:rPr>
            </w:pPr>
            <w:r w:rsidRPr="00A519F4">
              <w:rPr>
                <w:b/>
                <w:color w:val="000000" w:themeColor="text1"/>
              </w:rPr>
              <w:t>Reports to:</w:t>
            </w:r>
          </w:p>
        </w:tc>
        <w:tc>
          <w:tcPr>
            <w:tcW w:w="6077" w:type="dxa"/>
            <w:shd w:val="clear" w:color="auto" w:fill="E6E6E6"/>
            <w:vAlign w:val="center"/>
          </w:tcPr>
          <w:p w14:paraId="3D069BAC" w14:textId="64A111D6" w:rsidR="00792986" w:rsidRPr="00EF7007" w:rsidRDefault="00437F71" w:rsidP="00CD4D71">
            <w:pPr>
              <w:rPr>
                <w:bCs/>
                <w:color w:val="000000" w:themeColor="text1"/>
              </w:rPr>
            </w:pPr>
            <w:r>
              <w:rPr>
                <w:bCs/>
                <w:color w:val="000000" w:themeColor="text1"/>
                <w:lang w:val="en-US"/>
              </w:rPr>
              <w:t>Dr Richard Nair</w:t>
            </w:r>
          </w:p>
        </w:tc>
      </w:tr>
      <w:tr w:rsidR="00792986" w:rsidRPr="00A519F4" w14:paraId="1B70EBE9" w14:textId="77777777" w:rsidTr="00CD4D71">
        <w:trPr>
          <w:trHeight w:val="568"/>
          <w:jc w:val="center"/>
        </w:trPr>
        <w:tc>
          <w:tcPr>
            <w:tcW w:w="2779" w:type="dxa"/>
            <w:tcBorders>
              <w:top w:val="single" w:sz="4" w:space="0" w:color="auto"/>
              <w:left w:val="single" w:sz="4" w:space="0" w:color="auto"/>
              <w:bottom w:val="single" w:sz="4" w:space="0" w:color="auto"/>
              <w:right w:val="single" w:sz="4" w:space="0" w:color="auto"/>
            </w:tcBorders>
            <w:shd w:val="clear" w:color="auto" w:fill="E6E6E6"/>
            <w:vAlign w:val="center"/>
          </w:tcPr>
          <w:p w14:paraId="209A7631" w14:textId="77777777" w:rsidR="00792986" w:rsidRPr="00A519F4" w:rsidRDefault="00792986" w:rsidP="00CD4D71">
            <w:pPr>
              <w:rPr>
                <w:b/>
                <w:color w:val="000000" w:themeColor="text1"/>
              </w:rPr>
            </w:pPr>
            <w:r>
              <w:rPr>
                <w:b/>
                <w:color w:val="000000" w:themeColor="text1"/>
              </w:rPr>
              <w:t>Terms &amp; Conditions:</w:t>
            </w:r>
            <w:r w:rsidRPr="00A519F4">
              <w:rPr>
                <w:b/>
                <w:color w:val="000000" w:themeColor="text1"/>
              </w:rPr>
              <w:t xml:space="preserve"> </w:t>
            </w:r>
          </w:p>
        </w:tc>
        <w:tc>
          <w:tcPr>
            <w:tcW w:w="6077" w:type="dxa"/>
            <w:tcBorders>
              <w:top w:val="single" w:sz="4" w:space="0" w:color="auto"/>
              <w:left w:val="single" w:sz="4" w:space="0" w:color="auto"/>
              <w:bottom w:val="single" w:sz="4" w:space="0" w:color="auto"/>
              <w:right w:val="single" w:sz="4" w:space="0" w:color="auto"/>
            </w:tcBorders>
            <w:shd w:val="clear" w:color="auto" w:fill="E6E6E6"/>
            <w:vAlign w:val="center"/>
          </w:tcPr>
          <w:p w14:paraId="60B50440" w14:textId="7027B4E9" w:rsidR="00792986" w:rsidRPr="004E38E0" w:rsidRDefault="00437F71" w:rsidP="00CD4D71">
            <w:pPr>
              <w:rPr>
                <w:color w:val="000000" w:themeColor="text1"/>
                <w:lang w:val="en-US"/>
              </w:rPr>
            </w:pPr>
            <w:r>
              <w:t>4 year project, annual tax-free stipend of €25,000, as well as project costs</w:t>
            </w:r>
            <w:r w:rsidR="002A59C3">
              <w:t xml:space="preserve"> and international student fees</w:t>
            </w:r>
            <w:r>
              <w:t>.</w:t>
            </w:r>
          </w:p>
        </w:tc>
      </w:tr>
      <w:tr w:rsidR="00792986" w:rsidRPr="00A519F4" w14:paraId="24712F81" w14:textId="77777777" w:rsidTr="00CD4D71">
        <w:trPr>
          <w:trHeight w:val="568"/>
          <w:jc w:val="center"/>
        </w:trPr>
        <w:tc>
          <w:tcPr>
            <w:tcW w:w="2779" w:type="dxa"/>
            <w:tcBorders>
              <w:top w:val="single" w:sz="4" w:space="0" w:color="auto"/>
              <w:left w:val="single" w:sz="4" w:space="0" w:color="auto"/>
              <w:bottom w:val="single" w:sz="4" w:space="0" w:color="auto"/>
              <w:right w:val="single" w:sz="4" w:space="0" w:color="auto"/>
            </w:tcBorders>
            <w:shd w:val="clear" w:color="auto" w:fill="E6E6E6"/>
            <w:vAlign w:val="center"/>
          </w:tcPr>
          <w:p w14:paraId="56170942" w14:textId="77777777" w:rsidR="00792986" w:rsidRPr="00A519F4" w:rsidRDefault="00792986" w:rsidP="00CD4D71">
            <w:pPr>
              <w:rPr>
                <w:b/>
                <w:color w:val="000000" w:themeColor="text1"/>
              </w:rPr>
            </w:pPr>
            <w:r w:rsidRPr="00A519F4">
              <w:rPr>
                <w:b/>
                <w:color w:val="000000" w:themeColor="text1"/>
              </w:rPr>
              <w:t>Hours of Work:</w:t>
            </w:r>
          </w:p>
        </w:tc>
        <w:tc>
          <w:tcPr>
            <w:tcW w:w="6077" w:type="dxa"/>
            <w:tcBorders>
              <w:top w:val="single" w:sz="4" w:space="0" w:color="auto"/>
              <w:left w:val="single" w:sz="4" w:space="0" w:color="auto"/>
              <w:bottom w:val="single" w:sz="4" w:space="0" w:color="auto"/>
              <w:right w:val="single" w:sz="4" w:space="0" w:color="auto"/>
            </w:tcBorders>
            <w:shd w:val="clear" w:color="auto" w:fill="E6E6E6"/>
            <w:vAlign w:val="center"/>
          </w:tcPr>
          <w:p w14:paraId="4CCB0AFB" w14:textId="5B31C993" w:rsidR="00792986" w:rsidRPr="00EF7007" w:rsidRDefault="00437F71" w:rsidP="00CD4D71">
            <w:pPr>
              <w:rPr>
                <w:bCs/>
                <w:color w:val="000000" w:themeColor="text1"/>
                <w:lang w:val="en-IE"/>
              </w:rPr>
            </w:pPr>
            <w:r>
              <w:rPr>
                <w:bCs/>
                <w:color w:val="000000" w:themeColor="text1"/>
                <w:lang w:val="en-IE"/>
              </w:rPr>
              <w:t>Full Time</w:t>
            </w:r>
          </w:p>
        </w:tc>
      </w:tr>
      <w:tr w:rsidR="00792986" w:rsidRPr="00A519F4" w14:paraId="2D4F658C" w14:textId="77777777" w:rsidTr="00CD4D71">
        <w:trPr>
          <w:trHeight w:val="568"/>
          <w:jc w:val="center"/>
        </w:trPr>
        <w:tc>
          <w:tcPr>
            <w:tcW w:w="2779" w:type="dxa"/>
            <w:tcBorders>
              <w:top w:val="single" w:sz="4" w:space="0" w:color="auto"/>
              <w:left w:val="single" w:sz="4" w:space="0" w:color="auto"/>
              <w:bottom w:val="single" w:sz="4" w:space="0" w:color="auto"/>
              <w:right w:val="single" w:sz="4" w:space="0" w:color="auto"/>
            </w:tcBorders>
            <w:shd w:val="clear" w:color="auto" w:fill="E6E6E6"/>
            <w:vAlign w:val="center"/>
          </w:tcPr>
          <w:p w14:paraId="2538260E" w14:textId="77777777" w:rsidR="00792986" w:rsidRPr="00A519F4" w:rsidRDefault="00792986" w:rsidP="00CD4D71">
            <w:pPr>
              <w:rPr>
                <w:b/>
                <w:color w:val="000000" w:themeColor="text1"/>
              </w:rPr>
            </w:pPr>
            <w:r w:rsidRPr="00A519F4">
              <w:rPr>
                <w:b/>
                <w:color w:val="000000" w:themeColor="text1"/>
              </w:rPr>
              <w:t xml:space="preserve">Closing Date: </w:t>
            </w:r>
          </w:p>
        </w:tc>
        <w:tc>
          <w:tcPr>
            <w:tcW w:w="6077" w:type="dxa"/>
            <w:tcBorders>
              <w:top w:val="single" w:sz="4" w:space="0" w:color="auto"/>
              <w:left w:val="single" w:sz="4" w:space="0" w:color="auto"/>
              <w:bottom w:val="single" w:sz="4" w:space="0" w:color="auto"/>
              <w:right w:val="single" w:sz="4" w:space="0" w:color="auto"/>
            </w:tcBorders>
            <w:shd w:val="clear" w:color="auto" w:fill="E6E6E6"/>
            <w:vAlign w:val="center"/>
          </w:tcPr>
          <w:p w14:paraId="7618B7C8" w14:textId="1A3ADA8A" w:rsidR="00792986" w:rsidRPr="00466B76" w:rsidRDefault="00437F71" w:rsidP="00CD4D71">
            <w:pPr>
              <w:rPr>
                <w:bCs/>
                <w:color w:val="000000" w:themeColor="text1"/>
              </w:rPr>
            </w:pPr>
            <w:r>
              <w:rPr>
                <w:color w:val="000000" w:themeColor="text1"/>
              </w:rPr>
              <w:t>Until filled</w:t>
            </w:r>
            <w:r w:rsidR="009722FA">
              <w:rPr>
                <w:color w:val="000000" w:themeColor="text1"/>
              </w:rPr>
              <w:t xml:space="preserve"> (first review </w:t>
            </w:r>
            <w:r w:rsidR="0042062C">
              <w:rPr>
                <w:color w:val="000000" w:themeColor="text1"/>
              </w:rPr>
              <w:t>1</w:t>
            </w:r>
            <w:r w:rsidR="002A59C3">
              <w:rPr>
                <w:color w:val="000000" w:themeColor="text1"/>
              </w:rPr>
              <w:t>6</w:t>
            </w:r>
            <w:r w:rsidR="001E4FC6" w:rsidRPr="001E4FC6">
              <w:rPr>
                <w:color w:val="000000" w:themeColor="text1"/>
                <w:vertAlign w:val="superscript"/>
              </w:rPr>
              <w:t>th</w:t>
            </w:r>
            <w:r w:rsidR="001E4FC6">
              <w:rPr>
                <w:color w:val="000000" w:themeColor="text1"/>
              </w:rPr>
              <w:t xml:space="preserve"> June 2025)</w:t>
            </w:r>
          </w:p>
        </w:tc>
      </w:tr>
    </w:tbl>
    <w:p w14:paraId="59F7894B" w14:textId="77777777" w:rsidR="00792986" w:rsidRPr="00A519F4" w:rsidRDefault="00792986" w:rsidP="00792986">
      <w:pPr>
        <w:rPr>
          <w:color w:val="000000" w:themeColor="text1"/>
        </w:rPr>
      </w:pPr>
    </w:p>
    <w:p w14:paraId="23A2882C" w14:textId="77777777" w:rsidR="00792986" w:rsidRPr="00241AF4" w:rsidRDefault="00792986" w:rsidP="00792986">
      <w:pPr>
        <w:rPr>
          <w:b/>
          <w:color w:val="000000" w:themeColor="text1"/>
        </w:rPr>
      </w:pPr>
    </w:p>
    <w:p w14:paraId="2D4EB9D5" w14:textId="77777777" w:rsidR="00792986" w:rsidRPr="00A519F4" w:rsidRDefault="00792986" w:rsidP="00792986">
      <w:pPr>
        <w:rPr>
          <w:b/>
          <w:color w:val="000000" w:themeColor="text1"/>
        </w:rPr>
      </w:pPr>
      <w:r w:rsidRPr="00A519F4">
        <w:rPr>
          <w:b/>
          <w:color w:val="000000" w:themeColor="text1"/>
        </w:rPr>
        <w:t>Post Summary</w:t>
      </w:r>
    </w:p>
    <w:p w14:paraId="64653903" w14:textId="7BD404C0" w:rsidR="00437F71" w:rsidRDefault="00437F71" w:rsidP="00463B7C">
      <w:pPr>
        <w:spacing w:after="200"/>
        <w:jc w:val="both"/>
        <w:rPr>
          <w:bCs/>
        </w:rPr>
      </w:pPr>
      <w:r>
        <w:rPr>
          <w:bCs/>
        </w:rPr>
        <w:t>Soil respiration is the second biggest carbon flux in the terrestrial biosphere and intrinsically difficult understand and predict because it is made up of contributions from various sources such as plants and soil microbes.</w:t>
      </w:r>
    </w:p>
    <w:p w14:paraId="1A490F45" w14:textId="780510E8" w:rsidR="00437F71" w:rsidRDefault="00437F71" w:rsidP="00463B7C">
      <w:pPr>
        <w:spacing w:after="200"/>
        <w:jc w:val="both"/>
        <w:rPr>
          <w:bCs/>
        </w:rPr>
      </w:pPr>
      <w:r>
        <w:rPr>
          <w:bCs/>
        </w:rPr>
        <w:lastRenderedPageBreak/>
        <w:t>In this position we</w:t>
      </w:r>
      <w:r w:rsidR="009D033A">
        <w:rPr>
          <w:bCs/>
        </w:rPr>
        <w:t xml:space="preserve"> a</w:t>
      </w:r>
      <w:r>
        <w:rPr>
          <w:bCs/>
        </w:rPr>
        <w:t xml:space="preserve">re seeking a candidate interested in soil ecology, root traits and fieldwork and linking this with automated ‘minirhizotron systems able to make extremely high time frequency images of roots </w:t>
      </w:r>
      <w:r>
        <w:rPr>
          <w:bCs/>
          <w:i/>
          <w:iCs/>
        </w:rPr>
        <w:t>in situ</w:t>
      </w:r>
      <w:r>
        <w:rPr>
          <w:bCs/>
        </w:rPr>
        <w:t xml:space="preserve"> in the field (</w:t>
      </w:r>
      <w:hyperlink r:id="rId8" w:history="1">
        <w:r w:rsidRPr="00324BCA">
          <w:rPr>
            <w:rStyle w:val="Hyperlink"/>
            <w:bCs/>
          </w:rPr>
          <w:t>https://doi.org/10.1093/jxb/erac427</w:t>
        </w:r>
      </w:hyperlink>
      <w:r>
        <w:rPr>
          <w:bCs/>
        </w:rPr>
        <w:t xml:space="preserve">). The entire, multi-person project will interpret the dynamics of root properties in a field site and use these in a new way to dynamically ‘partition’ soil respiration between the activities of the organisms that contribute to it at scales from seasonal to sub-daily. The results will contribute to our ability to understand and predict this critical component of ecosystem function. </w:t>
      </w:r>
    </w:p>
    <w:p w14:paraId="3F838E24" w14:textId="25F4DF3F" w:rsidR="00792986" w:rsidRPr="00437F71" w:rsidRDefault="00437F71" w:rsidP="00463B7C">
      <w:pPr>
        <w:spacing w:after="200"/>
        <w:jc w:val="both"/>
        <w:rPr>
          <w:bCs/>
        </w:rPr>
      </w:pPr>
      <w:r>
        <w:rPr>
          <w:bCs/>
        </w:rPr>
        <w:t>You will work within group spanning ecological science, engineering, and computer science methods. Fieldwork on this project will take place in Ireland but there will also be the potential to use data from sites in the UK and Spain. Root and soil analysis facilities, as well as computing resources are available within the wider research group. International collaborations, conference attendance and research trips are also expected as part of this project.</w:t>
      </w:r>
    </w:p>
    <w:p w14:paraId="34F0CE66" w14:textId="77777777" w:rsidR="00792986" w:rsidRDefault="00792986" w:rsidP="00792986">
      <w:pPr>
        <w:rPr>
          <w:b/>
          <w:color w:val="000000" w:themeColor="text1"/>
        </w:rPr>
      </w:pPr>
      <w:r w:rsidRPr="00DB1123">
        <w:rPr>
          <w:b/>
          <w:color w:val="000000" w:themeColor="text1"/>
        </w:rPr>
        <w:t>Standard Duties and Responsibilities of the Post</w:t>
      </w:r>
    </w:p>
    <w:p w14:paraId="13129459" w14:textId="77777777" w:rsidR="00437F71" w:rsidRDefault="00437F71" w:rsidP="00792986">
      <w:pPr>
        <w:rPr>
          <w:b/>
          <w:color w:val="000000" w:themeColor="text1"/>
        </w:rPr>
      </w:pPr>
    </w:p>
    <w:p w14:paraId="3371A4CC" w14:textId="748483C2" w:rsidR="00437F71" w:rsidRDefault="00437F71" w:rsidP="00792986">
      <w:pPr>
        <w:rPr>
          <w:bCs/>
        </w:rPr>
      </w:pPr>
      <w:r>
        <w:rPr>
          <w:bCs/>
        </w:rPr>
        <w:t>The candidate will develop aspects of the project around ‘ground truth’ measurements of root properties and carbon flow, using these to interpret datasets coming from automated root measurements. These methods potentially includ</w:t>
      </w:r>
      <w:r w:rsidR="008C70CB">
        <w:rPr>
          <w:bCs/>
        </w:rPr>
        <w:t>e physical separation,</w:t>
      </w:r>
      <w:r>
        <w:rPr>
          <w:bCs/>
        </w:rPr>
        <w:t xml:space="preserve"> isotope experiments and/or characterization of soil microbial communities. </w:t>
      </w:r>
      <w:r w:rsidR="008C70CB">
        <w:rPr>
          <w:bCs/>
        </w:rPr>
        <w:t xml:space="preserve">The candidate will design and implement these validation experiments, </w:t>
      </w:r>
      <w:r w:rsidR="00B937E0">
        <w:rPr>
          <w:bCs/>
        </w:rPr>
        <w:t>and</w:t>
      </w:r>
      <w:r w:rsidR="008C70CB">
        <w:rPr>
          <w:bCs/>
        </w:rPr>
        <w:t xml:space="preserve"> work with data from the automated instruments to develop new methods of partitioning and understanding soil respiration. </w:t>
      </w:r>
    </w:p>
    <w:p w14:paraId="21D4361D" w14:textId="77777777" w:rsidR="00326CA4" w:rsidRPr="00437F71" w:rsidRDefault="00326CA4" w:rsidP="00792986">
      <w:pPr>
        <w:rPr>
          <w:bCs/>
        </w:rPr>
      </w:pPr>
    </w:p>
    <w:p w14:paraId="67FABA8C" w14:textId="77777777" w:rsidR="00792986" w:rsidRPr="00DB1123" w:rsidRDefault="00792986" w:rsidP="00792986">
      <w:pPr>
        <w:rPr>
          <w:b/>
          <w:color w:val="000000" w:themeColor="text1"/>
        </w:rPr>
      </w:pPr>
      <w:r w:rsidRPr="00DB1123">
        <w:rPr>
          <w:b/>
          <w:color w:val="000000" w:themeColor="text1"/>
        </w:rPr>
        <w:t>Funding Information</w:t>
      </w:r>
    </w:p>
    <w:p w14:paraId="18D37E74" w14:textId="2A425377" w:rsidR="00792986" w:rsidRDefault="00437F71" w:rsidP="00792986">
      <w:r>
        <w:rPr>
          <w:color w:val="000000" w:themeColor="text1"/>
        </w:rPr>
        <w:t xml:space="preserve">Not currently disclosable (under embargo). Please note that due to funding constraints, this project is only eligible for EU/UK student fees. </w:t>
      </w:r>
      <w:r>
        <w:t xml:space="preserve">EU student fees (funder constraint). EU fees apply to anyone who has worked or studied in the EU or UK for at least 3 out of the last 5 years, more details here: </w:t>
      </w:r>
      <w:hyperlink r:id="rId9" w:history="1">
        <w:r w:rsidRPr="007F477C">
          <w:rPr>
            <w:rStyle w:val="Hyperlink"/>
          </w:rPr>
          <w:t>https://www.tcd.ie/academicregistry/fees-and-payments/applicants/what-are-my-fees/</w:t>
        </w:r>
      </w:hyperlink>
      <w:r>
        <w:t>.</w:t>
      </w:r>
    </w:p>
    <w:p w14:paraId="3E718A72" w14:textId="77777777" w:rsidR="00437F71" w:rsidRDefault="00437F71" w:rsidP="00792986">
      <w:pPr>
        <w:rPr>
          <w:color w:val="000000" w:themeColor="text1"/>
        </w:rPr>
      </w:pPr>
    </w:p>
    <w:p w14:paraId="126075C3" w14:textId="24D91B39" w:rsidR="00792986" w:rsidRPr="00437F71" w:rsidRDefault="00792986" w:rsidP="00792986">
      <w:pPr>
        <w:rPr>
          <w:b/>
          <w:color w:val="000000" w:themeColor="text1"/>
        </w:rPr>
      </w:pPr>
      <w:r w:rsidRPr="00DB1123">
        <w:rPr>
          <w:b/>
          <w:color w:val="000000" w:themeColor="text1"/>
        </w:rPr>
        <w:t>Person Specification</w:t>
      </w:r>
    </w:p>
    <w:p w14:paraId="19926560" w14:textId="77777777" w:rsidR="00792986" w:rsidRDefault="00792986" w:rsidP="00792986">
      <w:pPr>
        <w:rPr>
          <w:color w:val="000000" w:themeColor="text1"/>
          <w:highlight w:val="yellow"/>
        </w:rPr>
      </w:pPr>
      <w:r w:rsidRPr="00DB1123">
        <w:rPr>
          <w:b/>
          <w:color w:val="000000" w:themeColor="text1"/>
        </w:rPr>
        <w:t>Qualifications</w:t>
      </w:r>
    </w:p>
    <w:p w14:paraId="7FC8560F" w14:textId="4CBE03DA" w:rsidR="00792986" w:rsidRDefault="00437F71" w:rsidP="00792986">
      <w:pPr>
        <w:rPr>
          <w:lang w:val="en-US"/>
        </w:rPr>
      </w:pPr>
      <w:r>
        <w:rPr>
          <w:lang w:val="en-US"/>
        </w:rPr>
        <w:lastRenderedPageBreak/>
        <w:t xml:space="preserve">A </w:t>
      </w:r>
      <w:r w:rsidRPr="00B35B05">
        <w:rPr>
          <w:lang w:val="en-US"/>
        </w:rPr>
        <w:t>bachelor’s or master’s degree in ecology, geosciences, environmental science, plant sciences, or another relevant discipline.</w:t>
      </w:r>
    </w:p>
    <w:p w14:paraId="788691A9" w14:textId="77777777" w:rsidR="00437F71" w:rsidRDefault="00437F71" w:rsidP="00792986">
      <w:pPr>
        <w:rPr>
          <w:color w:val="000000" w:themeColor="text1"/>
        </w:rPr>
      </w:pPr>
    </w:p>
    <w:p w14:paraId="439A70B0" w14:textId="77777777" w:rsidR="00792986" w:rsidRDefault="00792986" w:rsidP="00792986">
      <w:pPr>
        <w:rPr>
          <w:b/>
          <w:color w:val="000000" w:themeColor="text1"/>
        </w:rPr>
      </w:pPr>
      <w:r w:rsidRPr="001642B4">
        <w:rPr>
          <w:b/>
          <w:color w:val="000000" w:themeColor="text1"/>
        </w:rPr>
        <w:t>Knowledge &amp; Experience (Essential &amp; Desirable)</w:t>
      </w:r>
    </w:p>
    <w:p w14:paraId="72FB5487" w14:textId="57730580" w:rsidR="00437F71" w:rsidRPr="001642B4" w:rsidRDefault="00437F71" w:rsidP="00792986">
      <w:pPr>
        <w:rPr>
          <w:b/>
          <w:color w:val="000000" w:themeColor="text1"/>
        </w:rPr>
      </w:pPr>
      <w:r>
        <w:rPr>
          <w:b/>
          <w:color w:val="000000" w:themeColor="text1"/>
        </w:rPr>
        <w:t>Essential</w:t>
      </w:r>
    </w:p>
    <w:p w14:paraId="7388F547" w14:textId="2ED9EED0" w:rsidR="00437F71" w:rsidRDefault="00437F71" w:rsidP="00437F71">
      <w:pPr>
        <w:pStyle w:val="ListParagraph"/>
        <w:numPr>
          <w:ilvl w:val="0"/>
          <w:numId w:val="21"/>
        </w:numPr>
        <w:spacing w:after="200" w:line="240" w:lineRule="auto"/>
        <w:jc w:val="both"/>
      </w:pPr>
      <w:r>
        <w:t>E</w:t>
      </w:r>
      <w:proofErr w:type="spellStart"/>
      <w:r w:rsidRPr="00437F71">
        <w:rPr>
          <w:lang w:val="en-US"/>
        </w:rPr>
        <w:t>xperience</w:t>
      </w:r>
      <w:proofErr w:type="spellEnd"/>
      <w:r w:rsidRPr="00437F71">
        <w:rPr>
          <w:lang w:val="en-US"/>
        </w:rPr>
        <w:t xml:space="preserve"> in root, plant-soil, or soil science, preferably under field conditions, or demonstrable related experience in an academic or non-academic context and willingness to engage</w:t>
      </w:r>
    </w:p>
    <w:p w14:paraId="68368DD7" w14:textId="74321E64" w:rsidR="00437F71" w:rsidRDefault="00437F71" w:rsidP="00437F71">
      <w:pPr>
        <w:numPr>
          <w:ilvl w:val="0"/>
          <w:numId w:val="19"/>
        </w:numPr>
        <w:spacing w:after="200" w:line="240" w:lineRule="auto"/>
        <w:jc w:val="both"/>
      </w:pPr>
      <w:r>
        <w:t xml:space="preserve">Demonstrable capacity to think critically and creatively, and develop into a researcher in control of their own hypothesis-driven project </w:t>
      </w:r>
    </w:p>
    <w:p w14:paraId="27339645" w14:textId="0249CFFC" w:rsidR="00437F71" w:rsidRDefault="00437F71" w:rsidP="00437F71">
      <w:pPr>
        <w:numPr>
          <w:ilvl w:val="0"/>
          <w:numId w:val="19"/>
        </w:numPr>
        <w:spacing w:after="200" w:line="240" w:lineRule="auto"/>
        <w:jc w:val="both"/>
      </w:pPr>
      <w:r>
        <w:t>Demonstrable quantitative skills, including ecologically-relevant statistical methods</w:t>
      </w:r>
    </w:p>
    <w:p w14:paraId="3F90858B" w14:textId="019517F8" w:rsidR="00437F71" w:rsidRPr="00437F71" w:rsidRDefault="00437F71" w:rsidP="00437F71">
      <w:pPr>
        <w:pStyle w:val="ListParagraph"/>
        <w:numPr>
          <w:ilvl w:val="0"/>
          <w:numId w:val="19"/>
        </w:numPr>
        <w:spacing w:after="160" w:line="259" w:lineRule="auto"/>
        <w:rPr>
          <w:lang w:val="en-US"/>
        </w:rPr>
      </w:pPr>
      <w:r>
        <w:rPr>
          <w:lang w:val="en-US"/>
        </w:rPr>
        <w:t>Good quality written and spoken English.</w:t>
      </w:r>
      <w:r>
        <w:rPr>
          <w:lang w:val="en-US"/>
        </w:rPr>
        <w:br/>
      </w:r>
    </w:p>
    <w:p w14:paraId="6DC03E61" w14:textId="19C78E93" w:rsidR="00437F71" w:rsidRPr="00437F71" w:rsidRDefault="00437F71" w:rsidP="00437F71">
      <w:pPr>
        <w:pStyle w:val="ListParagraph"/>
        <w:numPr>
          <w:ilvl w:val="0"/>
          <w:numId w:val="19"/>
        </w:numPr>
        <w:spacing w:after="200" w:line="240" w:lineRule="auto"/>
        <w:jc w:val="both"/>
        <w:rPr>
          <w:color w:val="auto"/>
          <w:u w:val="single"/>
        </w:rPr>
      </w:pPr>
      <w:r>
        <w:t xml:space="preserve">Meet the Trinity College Dublin </w:t>
      </w:r>
      <w:hyperlink r:id="rId10" w:history="1">
        <w:r w:rsidRPr="00AD4704">
          <w:rPr>
            <w:rStyle w:val="Hyperlink"/>
          </w:rPr>
          <w:t>postgraduate entry requirements</w:t>
        </w:r>
      </w:hyperlink>
    </w:p>
    <w:p w14:paraId="04AABEC4" w14:textId="0A4ADF6E" w:rsidR="00437F71" w:rsidRPr="00437F71" w:rsidRDefault="00437F71" w:rsidP="00437F71">
      <w:pPr>
        <w:spacing w:after="200" w:line="240" w:lineRule="auto"/>
        <w:jc w:val="both"/>
        <w:rPr>
          <w:b/>
          <w:bCs/>
        </w:rPr>
      </w:pPr>
      <w:r w:rsidRPr="00437F71">
        <w:rPr>
          <w:b/>
          <w:bCs/>
        </w:rPr>
        <w:t>Desirable</w:t>
      </w:r>
    </w:p>
    <w:p w14:paraId="3F284758" w14:textId="78EBE7B4" w:rsidR="00437F71" w:rsidRDefault="00B620DD" w:rsidP="00437F71">
      <w:pPr>
        <w:numPr>
          <w:ilvl w:val="0"/>
          <w:numId w:val="19"/>
        </w:numPr>
        <w:spacing w:after="200" w:line="240" w:lineRule="auto"/>
        <w:jc w:val="both"/>
      </w:pPr>
      <w:r>
        <w:t>Demonstrable e</w:t>
      </w:r>
      <w:r w:rsidR="00437F71">
        <w:t xml:space="preserve">xperience in interdisciplinary projects or similar settings and a willingness to engage cross discipline. </w:t>
      </w:r>
    </w:p>
    <w:p w14:paraId="0745C59A" w14:textId="63806A91" w:rsidR="00437F71" w:rsidRDefault="00437F71" w:rsidP="00437F71">
      <w:pPr>
        <w:numPr>
          <w:ilvl w:val="0"/>
          <w:numId w:val="19"/>
        </w:numPr>
        <w:spacing w:after="200" w:line="240" w:lineRule="auto"/>
        <w:jc w:val="both"/>
      </w:pPr>
      <w:r>
        <w:t>Hold a valid driving license</w:t>
      </w:r>
    </w:p>
    <w:p w14:paraId="1ABA5520" w14:textId="77777777" w:rsidR="00437F71" w:rsidRPr="00D81C32" w:rsidRDefault="00437F71" w:rsidP="00437F71">
      <w:pPr>
        <w:numPr>
          <w:ilvl w:val="0"/>
          <w:numId w:val="19"/>
        </w:numPr>
        <w:spacing w:after="200" w:line="240" w:lineRule="auto"/>
        <w:jc w:val="both"/>
      </w:pPr>
      <w:r>
        <w:t>Be able to start a PhD in September 2025</w:t>
      </w:r>
    </w:p>
    <w:p w14:paraId="75EEB0A6" w14:textId="77777777" w:rsidR="00792986" w:rsidRPr="001642B4" w:rsidRDefault="00792986" w:rsidP="00792986">
      <w:pPr>
        <w:rPr>
          <w:color w:val="000000" w:themeColor="text1"/>
        </w:rPr>
      </w:pPr>
    </w:p>
    <w:p w14:paraId="60FBC890" w14:textId="77777777" w:rsidR="00792986" w:rsidRPr="001642B4" w:rsidRDefault="00792986" w:rsidP="00792986">
      <w:pPr>
        <w:rPr>
          <w:b/>
          <w:color w:val="000000" w:themeColor="text1"/>
        </w:rPr>
      </w:pPr>
      <w:r w:rsidRPr="001642B4">
        <w:rPr>
          <w:b/>
          <w:color w:val="000000" w:themeColor="text1"/>
        </w:rPr>
        <w:t>Skills &amp; Competencies</w:t>
      </w:r>
    </w:p>
    <w:p w14:paraId="5FB1A54C" w14:textId="77777777" w:rsidR="00437F71" w:rsidRDefault="00437F71" w:rsidP="00437F71">
      <w:pPr>
        <w:pStyle w:val="ListParagraph"/>
        <w:numPr>
          <w:ilvl w:val="0"/>
          <w:numId w:val="21"/>
        </w:numPr>
      </w:pPr>
      <w:r>
        <w:t>Proven ability to work as part of a team and independently.</w:t>
      </w:r>
    </w:p>
    <w:p w14:paraId="5AF57440" w14:textId="77777777" w:rsidR="00437F71" w:rsidRDefault="00437F71" w:rsidP="00437F71">
      <w:pPr>
        <w:pStyle w:val="ListParagraph"/>
        <w:numPr>
          <w:ilvl w:val="0"/>
          <w:numId w:val="21"/>
        </w:numPr>
      </w:pPr>
      <w:r>
        <w:t xml:space="preserve"> Highly motivated individual with the ability to effectively plan, execute, and deliver project outputs within deadlines.</w:t>
      </w:r>
    </w:p>
    <w:p w14:paraId="528D8BCD" w14:textId="77777777" w:rsidR="00437F71" w:rsidRDefault="00437F71" w:rsidP="00437F71">
      <w:pPr>
        <w:pStyle w:val="ListParagraph"/>
        <w:numPr>
          <w:ilvl w:val="0"/>
          <w:numId w:val="21"/>
        </w:numPr>
      </w:pPr>
      <w:r>
        <w:t>Effective communication, interpersonal and organisation skills.</w:t>
      </w:r>
    </w:p>
    <w:p w14:paraId="2325F62D" w14:textId="4C7F813B" w:rsidR="00437F71" w:rsidRDefault="00437F71" w:rsidP="00437F71">
      <w:pPr>
        <w:pStyle w:val="ListParagraph"/>
        <w:numPr>
          <w:ilvl w:val="0"/>
          <w:numId w:val="21"/>
        </w:numPr>
      </w:pPr>
      <w:r>
        <w:t>Excellent team working skills with emphasis on equality, diversity, and inclusion.</w:t>
      </w:r>
    </w:p>
    <w:p w14:paraId="56544467" w14:textId="77777777" w:rsidR="00792986" w:rsidRDefault="00792986" w:rsidP="00792986">
      <w:pPr>
        <w:rPr>
          <w:color w:val="000000" w:themeColor="text1"/>
        </w:rPr>
      </w:pPr>
    </w:p>
    <w:p w14:paraId="79D11289" w14:textId="77777777" w:rsidR="00792986" w:rsidRPr="00645CF5" w:rsidRDefault="00792986" w:rsidP="00792986">
      <w:pPr>
        <w:rPr>
          <w:b/>
          <w:bCs/>
          <w:color w:val="000000" w:themeColor="text1"/>
        </w:rPr>
      </w:pPr>
      <w:r w:rsidRPr="00645CF5">
        <w:rPr>
          <w:b/>
          <w:bCs/>
          <w:color w:val="000000" w:themeColor="text1"/>
        </w:rPr>
        <w:t>Application Procedure</w:t>
      </w:r>
    </w:p>
    <w:p w14:paraId="1EF45CB3" w14:textId="0271142E" w:rsidR="00437F71" w:rsidRPr="00645CF5" w:rsidRDefault="00437F71" w:rsidP="00437F71">
      <w:pPr>
        <w:rPr>
          <w:color w:val="000000" w:themeColor="text1"/>
        </w:rPr>
      </w:pPr>
      <w:r w:rsidRPr="00645CF5">
        <w:rPr>
          <w:color w:val="000000" w:themeColor="text1"/>
        </w:rPr>
        <w:t>Applicants should submit a full Curriculum Vitae</w:t>
      </w:r>
      <w:r>
        <w:rPr>
          <w:color w:val="000000" w:themeColor="text1"/>
        </w:rPr>
        <w:t>, including</w:t>
      </w:r>
      <w:r w:rsidRPr="00645CF5">
        <w:rPr>
          <w:color w:val="000000" w:themeColor="text1"/>
        </w:rPr>
        <w:t xml:space="preserve"> the names and contact details</w:t>
      </w:r>
      <w:r>
        <w:rPr>
          <w:color w:val="000000" w:themeColor="text1"/>
        </w:rPr>
        <w:t xml:space="preserve"> </w:t>
      </w:r>
      <w:r w:rsidRPr="00645CF5">
        <w:rPr>
          <w:color w:val="000000" w:themeColor="text1"/>
        </w:rPr>
        <w:t xml:space="preserve">of 2 referees </w:t>
      </w:r>
      <w:r>
        <w:rPr>
          <w:color w:val="000000" w:themeColor="text1"/>
        </w:rPr>
        <w:t xml:space="preserve">and a </w:t>
      </w:r>
      <w:proofErr w:type="spellStart"/>
      <w:r w:rsidR="00B620DD" w:rsidRPr="009074E2">
        <w:t>a</w:t>
      </w:r>
      <w:proofErr w:type="spellEnd"/>
      <w:r w:rsidR="00B620DD" w:rsidRPr="009074E2">
        <w:t xml:space="preserve"> 1-page personal statement detailing why you are interested in the project</w:t>
      </w:r>
      <w:r w:rsidRPr="00645CF5">
        <w:rPr>
          <w:color w:val="000000" w:themeColor="text1"/>
        </w:rPr>
        <w:t xml:space="preserve">, to:- </w:t>
      </w:r>
    </w:p>
    <w:p w14:paraId="1F94EF49" w14:textId="67FCA7DD" w:rsidR="00437F71" w:rsidRDefault="00437F71" w:rsidP="00437F71">
      <w:r>
        <w:rPr>
          <w:color w:val="000000" w:themeColor="text1"/>
        </w:rPr>
        <w:t>R</w:t>
      </w:r>
      <w:r w:rsidRPr="00A63591">
        <w:rPr>
          <w:color w:val="000000" w:themeColor="text1"/>
        </w:rPr>
        <w:t>ichard Nair</w:t>
      </w:r>
      <w:r>
        <w:rPr>
          <w:color w:val="000000" w:themeColor="text1"/>
        </w:rPr>
        <w:t xml:space="preserve"> </w:t>
      </w:r>
      <w:hyperlink r:id="rId11" w:history="1">
        <w:r w:rsidRPr="000D26A9">
          <w:rPr>
            <w:rStyle w:val="Hyperlink"/>
          </w:rPr>
          <w:t>richard.nair@tcd.ie</w:t>
        </w:r>
      </w:hyperlink>
      <w:r>
        <w:rPr>
          <w:color w:val="000000" w:themeColor="text1"/>
        </w:rPr>
        <w:t xml:space="preserve"> </w:t>
      </w:r>
      <w:r w:rsidRPr="009074E2">
        <w:t>with the</w:t>
      </w:r>
      <w:r w:rsidR="00B620DD" w:rsidRPr="009074E2">
        <w:t xml:space="preserve"> subject line ‘</w:t>
      </w:r>
      <w:r w:rsidR="00B620DD">
        <w:t>2025</w:t>
      </w:r>
      <w:r w:rsidR="00B620DD" w:rsidRPr="009074E2">
        <w:t xml:space="preserve"> </w:t>
      </w:r>
      <w:r w:rsidR="00B620DD">
        <w:t xml:space="preserve">Soil Respiration </w:t>
      </w:r>
      <w:r w:rsidR="00B620DD" w:rsidRPr="009074E2">
        <w:t>PhD application’</w:t>
      </w:r>
    </w:p>
    <w:p w14:paraId="12732809" w14:textId="47379C4D" w:rsidR="001E4FC6" w:rsidRPr="009074E2" w:rsidRDefault="001E4FC6" w:rsidP="00437F71">
      <w:r>
        <w:lastRenderedPageBreak/>
        <w:t xml:space="preserve">The first review of candidates will take place </w:t>
      </w:r>
      <w:r w:rsidR="00133F99">
        <w:t>on</w:t>
      </w:r>
      <w:r>
        <w:rPr>
          <w:color w:val="000000" w:themeColor="text1"/>
        </w:rPr>
        <w:t xml:space="preserve"> </w:t>
      </w:r>
      <w:r w:rsidR="002A59C3">
        <w:rPr>
          <w:color w:val="000000" w:themeColor="text1"/>
        </w:rPr>
        <w:t>16</w:t>
      </w:r>
      <w:r w:rsidRPr="001E4FC6">
        <w:rPr>
          <w:color w:val="000000" w:themeColor="text1"/>
          <w:vertAlign w:val="superscript"/>
        </w:rPr>
        <w:t>th</w:t>
      </w:r>
      <w:r>
        <w:rPr>
          <w:color w:val="000000" w:themeColor="text1"/>
        </w:rPr>
        <w:t xml:space="preserve"> June 2025.</w:t>
      </w:r>
    </w:p>
    <w:p w14:paraId="1076A37A" w14:textId="77777777" w:rsidR="002C156A" w:rsidRDefault="002C156A" w:rsidP="002C156A">
      <w:pPr>
        <w:spacing w:after="200" w:line="240" w:lineRule="auto"/>
        <w:jc w:val="both"/>
      </w:pPr>
      <w:r>
        <w:t>We strive for a bias free recruitment process so we ask you to not send CVs that include a photo or information of a personal nature (e.g. age, marital status, nationality). Statements will be read before CVs. We encourage applications from underrepresented groups in STEM.</w:t>
      </w:r>
    </w:p>
    <w:p w14:paraId="326A2BAE" w14:textId="5701D027" w:rsidR="002C156A" w:rsidRPr="0093183C" w:rsidRDefault="002C156A" w:rsidP="002C156A">
      <w:pPr>
        <w:spacing w:after="200" w:line="240" w:lineRule="auto"/>
        <w:jc w:val="both"/>
        <w:rPr>
          <w:color w:val="1155CC"/>
          <w:u w:val="single"/>
          <w:lang w:val="en-US"/>
        </w:rPr>
      </w:pPr>
      <w:r w:rsidRPr="55647330">
        <w:rPr>
          <w:lang w:val="en-US"/>
        </w:rPr>
        <w:t xml:space="preserve">Please address all enquiries by email to Dr. </w:t>
      </w:r>
      <w:r>
        <w:rPr>
          <w:lang w:val="en-US"/>
        </w:rPr>
        <w:t>Richard Nair,</w:t>
      </w:r>
      <w:r w:rsidRPr="55647330">
        <w:rPr>
          <w:lang w:val="en-US"/>
        </w:rPr>
        <w:t xml:space="preserve"> </w:t>
      </w:r>
      <w:r>
        <w:t>richard.nair@tcd.ie</w:t>
      </w:r>
      <w:r w:rsidR="001E4FC6">
        <w:t>,</w:t>
      </w:r>
    </w:p>
    <w:p w14:paraId="5AB9BD04" w14:textId="77777777" w:rsidR="00792986" w:rsidRDefault="00792986" w:rsidP="00792986">
      <w:pPr>
        <w:rPr>
          <w:rFonts w:eastAsia="Arial"/>
          <w:b/>
          <w:color w:val="000000" w:themeColor="text1"/>
        </w:rPr>
      </w:pPr>
    </w:p>
    <w:p w14:paraId="22951E2B" w14:textId="77777777" w:rsidR="00792986" w:rsidRPr="001642B4" w:rsidRDefault="00792986" w:rsidP="00792986">
      <w:pPr>
        <w:rPr>
          <w:rFonts w:eastAsia="Arial"/>
          <w:b/>
          <w:color w:val="000000" w:themeColor="text1"/>
          <w:w w:val="101"/>
        </w:rPr>
      </w:pPr>
      <w:r w:rsidRPr="00A519F4">
        <w:rPr>
          <w:rFonts w:eastAsia="Arial"/>
          <w:b/>
          <w:color w:val="000000" w:themeColor="text1"/>
        </w:rPr>
        <w:t>F</w:t>
      </w:r>
      <w:r w:rsidRPr="00A519F4">
        <w:rPr>
          <w:rFonts w:eastAsia="Arial"/>
          <w:b/>
          <w:color w:val="000000" w:themeColor="text1"/>
          <w:spacing w:val="-1"/>
        </w:rPr>
        <w:t>u</w:t>
      </w:r>
      <w:r w:rsidRPr="00A519F4">
        <w:rPr>
          <w:rFonts w:eastAsia="Arial"/>
          <w:b/>
          <w:color w:val="000000" w:themeColor="text1"/>
        </w:rPr>
        <w:t>rther</w:t>
      </w:r>
      <w:r w:rsidRPr="00A519F4">
        <w:rPr>
          <w:rFonts w:eastAsia="Arial"/>
          <w:b/>
          <w:color w:val="000000" w:themeColor="text1"/>
          <w:spacing w:val="10"/>
        </w:rPr>
        <w:t xml:space="preserve"> </w:t>
      </w:r>
      <w:r w:rsidRPr="00A519F4">
        <w:rPr>
          <w:rFonts w:eastAsia="Arial"/>
          <w:b/>
          <w:color w:val="000000" w:themeColor="text1"/>
          <w:w w:val="101"/>
        </w:rPr>
        <w:t>I</w:t>
      </w:r>
      <w:r w:rsidRPr="00A519F4">
        <w:rPr>
          <w:rFonts w:eastAsia="Arial"/>
          <w:b/>
          <w:color w:val="000000" w:themeColor="text1"/>
          <w:spacing w:val="-1"/>
          <w:w w:val="101"/>
        </w:rPr>
        <w:t>nf</w:t>
      </w:r>
      <w:r w:rsidRPr="00A519F4">
        <w:rPr>
          <w:rFonts w:eastAsia="Arial"/>
          <w:b/>
          <w:color w:val="000000" w:themeColor="text1"/>
          <w:w w:val="101"/>
        </w:rPr>
        <w:t>ormati</w:t>
      </w:r>
      <w:r w:rsidRPr="00A519F4">
        <w:rPr>
          <w:rFonts w:eastAsia="Arial"/>
          <w:b/>
          <w:color w:val="000000" w:themeColor="text1"/>
          <w:spacing w:val="-1"/>
          <w:w w:val="101"/>
        </w:rPr>
        <w:t>o</w:t>
      </w:r>
      <w:r w:rsidRPr="00A519F4">
        <w:rPr>
          <w:rFonts w:eastAsia="Arial"/>
          <w:b/>
          <w:color w:val="000000" w:themeColor="text1"/>
          <w:w w:val="101"/>
        </w:rPr>
        <w:t>n</w:t>
      </w:r>
      <w:r>
        <w:rPr>
          <w:rFonts w:eastAsia="Arial"/>
          <w:b/>
          <w:color w:val="000000" w:themeColor="text1"/>
          <w:w w:val="101"/>
        </w:rPr>
        <w:t xml:space="preserve"> for Applicants</w:t>
      </w:r>
      <w:r>
        <w:rPr>
          <w:rFonts w:eastAsia="Arial"/>
          <w:b/>
          <w:color w:val="000000" w:themeColor="text1"/>
          <w:w w:val="101"/>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8"/>
        <w:gridCol w:w="5464"/>
      </w:tblGrid>
      <w:tr w:rsidR="00B620DD" w:rsidRPr="00A519F4" w14:paraId="44B10392" w14:textId="77777777" w:rsidTr="00CD4D71">
        <w:tc>
          <w:tcPr>
            <w:tcW w:w="4361" w:type="dxa"/>
          </w:tcPr>
          <w:p w14:paraId="34B40913" w14:textId="60BBC58D" w:rsidR="00B620DD" w:rsidRPr="00A519F4" w:rsidRDefault="00B620DD" w:rsidP="00CD4D71">
            <w:pPr>
              <w:rPr>
                <w:color w:val="000000" w:themeColor="text1"/>
                <w:lang w:val="en-IE"/>
              </w:rPr>
            </w:pPr>
            <w:r>
              <w:t>Botany at Trinity College Dublin</w:t>
            </w:r>
          </w:p>
        </w:tc>
        <w:tc>
          <w:tcPr>
            <w:tcW w:w="6079" w:type="dxa"/>
          </w:tcPr>
          <w:p w14:paraId="79CCE66E" w14:textId="79C7C369" w:rsidR="00B620DD" w:rsidRDefault="00B620DD" w:rsidP="00CD4D71">
            <w:r w:rsidRPr="0052499D">
              <w:t>https://www.tcd.ie/Botany/</w:t>
            </w:r>
          </w:p>
        </w:tc>
      </w:tr>
      <w:tr w:rsidR="00B620DD" w:rsidRPr="00A519F4" w14:paraId="223C1678" w14:textId="77777777" w:rsidTr="00CD4D71">
        <w:tc>
          <w:tcPr>
            <w:tcW w:w="4361" w:type="dxa"/>
          </w:tcPr>
          <w:p w14:paraId="55E2CA62" w14:textId="5CFEAD5A" w:rsidR="00B620DD" w:rsidRPr="00A519F4" w:rsidRDefault="00B620DD" w:rsidP="00CD4D71">
            <w:pPr>
              <w:rPr>
                <w:color w:val="000000" w:themeColor="text1"/>
                <w:lang w:val="en-IE"/>
              </w:rPr>
            </w:pPr>
            <w:r>
              <w:t>Plant Soil Function Group</w:t>
            </w:r>
          </w:p>
        </w:tc>
        <w:tc>
          <w:tcPr>
            <w:tcW w:w="6079" w:type="dxa"/>
          </w:tcPr>
          <w:p w14:paraId="787B0357" w14:textId="4EF22EB3" w:rsidR="00B620DD" w:rsidRDefault="00B620DD" w:rsidP="00CD4D71">
            <w:r w:rsidRPr="004C3DA8">
              <w:t>https://richardnair.github.io/</w:t>
            </w:r>
          </w:p>
        </w:tc>
      </w:tr>
      <w:tr w:rsidR="00792986" w:rsidRPr="00A519F4" w14:paraId="29763623" w14:textId="77777777" w:rsidTr="00CD4D71">
        <w:tc>
          <w:tcPr>
            <w:tcW w:w="4361" w:type="dxa"/>
          </w:tcPr>
          <w:p w14:paraId="4DB317AF" w14:textId="77777777" w:rsidR="00792986" w:rsidRPr="00A519F4" w:rsidRDefault="00792986" w:rsidP="00CD4D71">
            <w:pPr>
              <w:rPr>
                <w:color w:val="000000" w:themeColor="text1"/>
                <w:lang w:val="en-IE"/>
              </w:rPr>
            </w:pPr>
            <w:r w:rsidRPr="00A519F4">
              <w:rPr>
                <w:color w:val="000000" w:themeColor="text1"/>
                <w:lang w:val="en-IE"/>
              </w:rPr>
              <w:t>URL Link to Area</w:t>
            </w:r>
          </w:p>
        </w:tc>
        <w:tc>
          <w:tcPr>
            <w:tcW w:w="6079" w:type="dxa"/>
          </w:tcPr>
          <w:p w14:paraId="6AA07A06" w14:textId="77777777" w:rsidR="00792986" w:rsidRPr="00A519F4" w:rsidRDefault="00733AC6" w:rsidP="00CD4D71">
            <w:pPr>
              <w:rPr>
                <w:color w:val="000000" w:themeColor="text1"/>
                <w:lang w:val="en-IE"/>
              </w:rPr>
            </w:pPr>
            <w:hyperlink r:id="rId12" w:history="1">
              <w:r w:rsidR="00792986" w:rsidRPr="004834C1">
                <w:rPr>
                  <w:rStyle w:val="Hyperlink"/>
                  <w:lang w:val="en-IE"/>
                </w:rPr>
                <w:t>www.tcd.ie</w:t>
              </w:r>
            </w:hyperlink>
          </w:p>
        </w:tc>
      </w:tr>
      <w:tr w:rsidR="00792986" w:rsidRPr="00A519F4" w14:paraId="2F5D7F6F" w14:textId="77777777" w:rsidTr="00CD4D71">
        <w:tc>
          <w:tcPr>
            <w:tcW w:w="4361" w:type="dxa"/>
          </w:tcPr>
          <w:p w14:paraId="37079D27" w14:textId="77777777" w:rsidR="00792986" w:rsidRPr="00A519F4" w:rsidRDefault="00792986" w:rsidP="00CD4D71">
            <w:pPr>
              <w:rPr>
                <w:color w:val="000000" w:themeColor="text1"/>
                <w:lang w:val="en-IE"/>
              </w:rPr>
            </w:pPr>
            <w:r w:rsidRPr="00A519F4">
              <w:rPr>
                <w:color w:val="000000" w:themeColor="text1"/>
                <w:lang w:val="en-IE"/>
              </w:rPr>
              <w:t>URL Link to Human Resources</w:t>
            </w:r>
          </w:p>
        </w:tc>
        <w:tc>
          <w:tcPr>
            <w:tcW w:w="6079" w:type="dxa"/>
          </w:tcPr>
          <w:p w14:paraId="3A24C31A" w14:textId="77777777" w:rsidR="00792986" w:rsidRPr="00A519F4" w:rsidRDefault="00733AC6" w:rsidP="00CD4D71">
            <w:pPr>
              <w:rPr>
                <w:color w:val="000000" w:themeColor="text1"/>
                <w:lang w:val="en-IE"/>
              </w:rPr>
            </w:pPr>
            <w:hyperlink r:id="rId13" w:history="1">
              <w:r w:rsidR="00792986" w:rsidRPr="004834C1">
                <w:rPr>
                  <w:rStyle w:val="Hyperlink"/>
                  <w:lang w:val="en-IE"/>
                </w:rPr>
                <w:t>https://www.tcd.ie/hr/</w:t>
              </w:r>
            </w:hyperlink>
          </w:p>
        </w:tc>
      </w:tr>
    </w:tbl>
    <w:p w14:paraId="30EE87A3" w14:textId="77777777" w:rsidR="00792986" w:rsidRPr="00A519F4" w:rsidRDefault="00792986" w:rsidP="00792986">
      <w:pPr>
        <w:rPr>
          <w:b/>
          <w:color w:val="000000" w:themeColor="text1"/>
        </w:rPr>
      </w:pPr>
    </w:p>
    <w:p w14:paraId="49D6488A" w14:textId="77777777" w:rsidR="00792986" w:rsidRDefault="00792986" w:rsidP="00792986">
      <w:pPr>
        <w:spacing w:after="200" w:line="276" w:lineRule="auto"/>
        <w:rPr>
          <w:b/>
          <w:color w:val="000000" w:themeColor="text1"/>
        </w:rPr>
      </w:pPr>
      <w:r>
        <w:rPr>
          <w:b/>
          <w:color w:val="000000" w:themeColor="text1"/>
        </w:rPr>
        <w:br w:type="page"/>
      </w:r>
    </w:p>
    <w:p w14:paraId="168B6F93" w14:textId="77777777" w:rsidR="005D1E54" w:rsidRPr="00400BD5" w:rsidRDefault="005D1E54" w:rsidP="005D1E54">
      <w:pPr>
        <w:rPr>
          <w:rFonts w:cstheme="minorHAnsi"/>
          <w:b/>
          <w:color w:val="auto"/>
          <w:lang w:val="en-IE"/>
        </w:rPr>
      </w:pPr>
      <w:r w:rsidRPr="00400BD5">
        <w:rPr>
          <w:rFonts w:cstheme="minorHAnsi"/>
          <w:b/>
          <w:color w:val="auto"/>
          <w:lang w:val="en-IE"/>
        </w:rPr>
        <w:lastRenderedPageBreak/>
        <w:t>Trinity College Dublin, the University of Dublin</w:t>
      </w:r>
    </w:p>
    <w:p w14:paraId="7E4427A6" w14:textId="77777777" w:rsidR="005D1E54" w:rsidRPr="00400BD5" w:rsidRDefault="005D1E54" w:rsidP="005D1E54">
      <w:pPr>
        <w:rPr>
          <w:rFonts w:cstheme="minorHAnsi"/>
          <w:color w:val="auto"/>
          <w:lang w:val="en-IE"/>
        </w:rPr>
      </w:pPr>
    </w:p>
    <w:p w14:paraId="17B215ED" w14:textId="77777777" w:rsidR="005D1E54" w:rsidRPr="00400BD5" w:rsidRDefault="005D1E54" w:rsidP="005D1E54">
      <w:pPr>
        <w:rPr>
          <w:rFonts w:cstheme="minorHAnsi"/>
          <w:color w:val="auto"/>
          <w:lang w:val="en-IE"/>
        </w:rPr>
      </w:pPr>
      <w:r w:rsidRPr="00400BD5">
        <w:rPr>
          <w:rFonts w:cstheme="minorHAnsi"/>
          <w:color w:val="auto"/>
          <w:lang w:val="en-IE"/>
        </w:rPr>
        <w:t xml:space="preserve">Trinity is Ireland’s leading university and is ranked </w:t>
      </w:r>
      <w:r>
        <w:rPr>
          <w:rFonts w:cstheme="minorHAnsi"/>
          <w:color w:val="auto"/>
          <w:lang w:val="en-IE"/>
        </w:rPr>
        <w:t>9</w:t>
      </w:r>
      <w:r w:rsidRPr="00400BD5">
        <w:rPr>
          <w:rFonts w:cstheme="minorHAnsi"/>
          <w:color w:val="auto"/>
          <w:lang w:val="en-IE"/>
        </w:rPr>
        <w:t xml:space="preserve">8th in the world (QS World University Rankings </w:t>
      </w:r>
      <w:r>
        <w:rPr>
          <w:rFonts w:cstheme="minorHAnsi"/>
          <w:color w:val="auto"/>
          <w:lang w:val="en-IE"/>
        </w:rPr>
        <w:t>2023</w:t>
      </w:r>
      <w:r w:rsidRPr="00400BD5">
        <w:rPr>
          <w:rFonts w:cstheme="minorHAnsi"/>
          <w:color w:val="auto"/>
          <w:lang w:val="en-IE"/>
        </w:rPr>
        <w:t>). Founded in 1592, the University is steeped in history with a reputation for excellence in education, research and innovation.</w:t>
      </w:r>
    </w:p>
    <w:p w14:paraId="25FFDA13" w14:textId="77777777" w:rsidR="005D1E54" w:rsidRPr="00400BD5" w:rsidRDefault="005D1E54" w:rsidP="005D1E54">
      <w:pPr>
        <w:rPr>
          <w:rFonts w:cstheme="minorHAnsi"/>
          <w:color w:val="auto"/>
          <w:lang w:val="en-IE"/>
        </w:rPr>
      </w:pPr>
    </w:p>
    <w:p w14:paraId="635DCE7C" w14:textId="77777777" w:rsidR="005D1E54" w:rsidRPr="00400BD5" w:rsidRDefault="005D1E54" w:rsidP="005D1E54">
      <w:pPr>
        <w:rPr>
          <w:rFonts w:cstheme="minorHAnsi"/>
          <w:color w:val="auto"/>
          <w:lang w:val="en-IE"/>
        </w:rPr>
      </w:pPr>
      <w:r w:rsidRPr="00400BD5">
        <w:rPr>
          <w:rFonts w:cstheme="minorHAnsi"/>
          <w:color w:val="auto"/>
          <w:lang w:val="en-IE"/>
        </w:rPr>
        <w:t xml:space="preserve">Located on an iconic campus in the heart of Dublin’s city centre, Trinity has 18,000 undergraduate and postgraduate students across our three faculties – Arts, Humanities, and Social Sciences; Engineering, Mathematics and Science; and Health Sciences. </w:t>
      </w:r>
    </w:p>
    <w:p w14:paraId="20C7651B" w14:textId="77777777" w:rsidR="005D1E54" w:rsidRPr="00400BD5" w:rsidRDefault="005D1E54" w:rsidP="005D1E54">
      <w:pPr>
        <w:rPr>
          <w:rFonts w:cstheme="minorHAnsi"/>
          <w:color w:val="auto"/>
          <w:lang w:val="en-IE"/>
        </w:rPr>
      </w:pPr>
    </w:p>
    <w:p w14:paraId="3A0FB876" w14:textId="77777777" w:rsidR="001101E6" w:rsidRPr="00400BD5" w:rsidRDefault="001101E6" w:rsidP="001101E6">
      <w:pPr>
        <w:rPr>
          <w:rFonts w:cstheme="minorHAnsi"/>
          <w:color w:val="auto"/>
          <w:lang w:val="en-IE"/>
        </w:rPr>
      </w:pPr>
      <w:r w:rsidRPr="00773D07">
        <w:rPr>
          <w:rFonts w:cstheme="minorHAnsi"/>
          <w:color w:val="auto"/>
          <w:lang w:val="en-IE"/>
        </w:rPr>
        <w:t>Trinity is ranked as the 12th most international university in the world (Times Higher Education Rankings 2020) and is also the highest ranked university in Ireland.</w:t>
      </w:r>
    </w:p>
    <w:p w14:paraId="3EC81717" w14:textId="77777777" w:rsidR="005D1E54" w:rsidRPr="00400BD5" w:rsidRDefault="005D1E54" w:rsidP="005D1E54">
      <w:pPr>
        <w:rPr>
          <w:rFonts w:cstheme="minorHAnsi"/>
          <w:color w:val="auto"/>
          <w:lang w:val="en-IE"/>
        </w:rPr>
      </w:pPr>
    </w:p>
    <w:p w14:paraId="1D2AA33A" w14:textId="77777777" w:rsidR="005D1E54" w:rsidRPr="00400BD5" w:rsidRDefault="005D1E54" w:rsidP="005D1E54">
      <w:pPr>
        <w:rPr>
          <w:rFonts w:cstheme="minorHAnsi"/>
          <w:color w:val="auto"/>
          <w:lang w:val="en-IE"/>
        </w:rPr>
      </w:pPr>
      <w:r w:rsidRPr="00400BD5">
        <w:rPr>
          <w:rFonts w:cstheme="minorHAnsi"/>
          <w:color w:val="auto"/>
          <w:lang w:val="en-IE"/>
        </w:rPr>
        <w:t xml:space="preserve">The pursuit of excellence through research and scholarship is at the heart of a Trinity education, and our researchers have an outstanding publication record and strong record of grant success.  Trinity has developed </w:t>
      </w:r>
      <w:hyperlink r:id="rId14" w:history="1">
        <w:r w:rsidRPr="00400BD5">
          <w:rPr>
            <w:rStyle w:val="Hyperlink"/>
            <w:rFonts w:cstheme="minorHAnsi"/>
            <w:color w:val="auto"/>
            <w:lang w:val="en-IE"/>
          </w:rPr>
          <w:t>19 broad-based multidisciplinary research themes</w:t>
        </w:r>
      </w:hyperlink>
      <w:r w:rsidRPr="00400BD5">
        <w:rPr>
          <w:rFonts w:cstheme="minorHAnsi"/>
          <w:color w:val="auto"/>
          <w:lang w:val="en-IE"/>
        </w:rPr>
        <w:t xml:space="preserve"> that cut across disciplines and facilitate world-leading research and collaboration within the University and with colleagues around the world.  Trinity is also home to 5 leading flagship research institutes:</w:t>
      </w:r>
    </w:p>
    <w:p w14:paraId="07C4A1B2"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Trinity Biomedical Sciences Institute (TBSI)</w:t>
      </w:r>
    </w:p>
    <w:p w14:paraId="1D7BD0EE"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Trinity College Institute of Neuroscience (TCIN)</w:t>
      </w:r>
    </w:p>
    <w:p w14:paraId="320AF4D5"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Trinity Translational Medical Institute (TTMI)</w:t>
      </w:r>
    </w:p>
    <w:p w14:paraId="695F55F6"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Trinity Long Room Hub Arts and Humanities Research Institute (TLRH)</w:t>
      </w:r>
    </w:p>
    <w:p w14:paraId="09719C42"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Centre for Research on Adaptive Nanostructures and Nanodevices (CRANN)</w:t>
      </w:r>
    </w:p>
    <w:p w14:paraId="668433F1" w14:textId="77777777" w:rsidR="005D1E54" w:rsidRPr="00400BD5" w:rsidRDefault="005D1E54" w:rsidP="005D1E54">
      <w:pPr>
        <w:rPr>
          <w:rFonts w:cstheme="minorHAnsi"/>
          <w:color w:val="auto"/>
          <w:lang w:val="en-IE"/>
        </w:rPr>
      </w:pPr>
    </w:p>
    <w:p w14:paraId="40B26A03" w14:textId="77777777" w:rsidR="001101E6" w:rsidRPr="00400BD5" w:rsidRDefault="001101E6" w:rsidP="001101E6">
      <w:pPr>
        <w:rPr>
          <w:rFonts w:cstheme="minorHAnsi"/>
          <w:color w:val="auto"/>
          <w:lang w:val="en-IE"/>
        </w:rPr>
      </w:pPr>
      <w:r w:rsidRPr="00400BD5">
        <w:rPr>
          <w:rFonts w:cstheme="minorHAnsi"/>
          <w:color w:val="auto"/>
          <w:lang w:val="en-IE"/>
        </w:rPr>
        <w:t>Trinity</w:t>
      </w:r>
      <w:r>
        <w:rPr>
          <w:rFonts w:cstheme="minorHAnsi"/>
          <w:color w:val="auto"/>
          <w:lang w:val="en-IE"/>
        </w:rPr>
        <w:t xml:space="preserve"> is</w:t>
      </w:r>
      <w:r w:rsidRPr="00400BD5">
        <w:rPr>
          <w:rFonts w:cstheme="minorHAnsi"/>
          <w:color w:val="auto"/>
          <w:lang w:val="en-IE"/>
        </w:rPr>
        <w:t xml:space="preserve"> </w:t>
      </w:r>
      <w:r w:rsidRPr="002E719B">
        <w:rPr>
          <w:rFonts w:cstheme="minorHAnsi"/>
          <w:color w:val="auto"/>
          <w:lang w:val="en-IE"/>
        </w:rPr>
        <w:t>1st in Europe for Producing Entrepreneurs for the 7th year in a row</w:t>
      </w:r>
      <w:r>
        <w:rPr>
          <w:rFonts w:cstheme="minorHAnsi"/>
          <w:color w:val="auto"/>
          <w:lang w:val="en-IE"/>
        </w:rPr>
        <w:t xml:space="preserve"> </w:t>
      </w:r>
      <w:r w:rsidRPr="00400BD5">
        <w:rPr>
          <w:rFonts w:cstheme="minorHAnsi"/>
          <w:color w:val="auto"/>
          <w:lang w:val="en-IE"/>
        </w:rPr>
        <w:t>and Europe’s only representative in the world’s top-50 universities</w:t>
      </w:r>
      <w:r>
        <w:rPr>
          <w:rFonts w:cstheme="minorHAnsi"/>
          <w:color w:val="auto"/>
          <w:lang w:val="en-IE"/>
        </w:rPr>
        <w:t xml:space="preserve"> </w:t>
      </w:r>
      <w:r w:rsidRPr="00400BD5">
        <w:rPr>
          <w:rFonts w:cstheme="minorHAnsi"/>
          <w:color w:val="auto"/>
          <w:lang w:val="en-IE"/>
        </w:rPr>
        <w:t xml:space="preserve">(Pitchbook </w:t>
      </w:r>
      <w:r>
        <w:rPr>
          <w:rFonts w:cstheme="minorHAnsi"/>
          <w:color w:val="auto"/>
          <w:lang w:val="en-IE"/>
        </w:rPr>
        <w:t xml:space="preserve">University Report </w:t>
      </w:r>
      <w:r w:rsidRPr="002E719B">
        <w:rPr>
          <w:rFonts w:cstheme="minorHAnsi"/>
          <w:color w:val="auto"/>
          <w:lang w:val="en-IE"/>
        </w:rPr>
        <w:t>2021-2022</w:t>
      </w:r>
      <w:r w:rsidRPr="00400BD5">
        <w:rPr>
          <w:rFonts w:cstheme="minorHAnsi"/>
          <w:color w:val="auto"/>
          <w:lang w:val="en-IE"/>
        </w:rPr>
        <w:t>).</w:t>
      </w:r>
    </w:p>
    <w:p w14:paraId="095C530C" w14:textId="77777777" w:rsidR="005D1E54" w:rsidRPr="00400BD5" w:rsidRDefault="005D1E54" w:rsidP="005D1E54">
      <w:pPr>
        <w:rPr>
          <w:rFonts w:cstheme="minorHAnsi"/>
          <w:color w:val="auto"/>
          <w:lang w:val="en-IE"/>
        </w:rPr>
      </w:pPr>
    </w:p>
    <w:p w14:paraId="35EAA6C3" w14:textId="77777777" w:rsidR="005D1E54" w:rsidRPr="00517CC3" w:rsidRDefault="005D1E54" w:rsidP="005D1E54">
      <w:pPr>
        <w:rPr>
          <w:rFonts w:cstheme="minorHAnsi"/>
          <w:color w:val="auto"/>
          <w:lang w:val="en-IE"/>
        </w:rPr>
      </w:pPr>
      <w:r w:rsidRPr="00517CC3">
        <w:rPr>
          <w:rFonts w:cstheme="minorHAnsi"/>
          <w:color w:val="auto"/>
          <w:lang w:val="en-IE"/>
        </w:rPr>
        <w:t xml:space="preserve">Trinity is home to the famous Old Library and to the historic Book of Kells as well as other internationally significant holdings in manuscripts, maps and early printed material. The </w:t>
      </w:r>
      <w:r w:rsidRPr="00517CC3">
        <w:rPr>
          <w:rFonts w:cstheme="minorHAnsi"/>
          <w:color w:val="auto"/>
          <w:lang w:val="en-IE"/>
        </w:rPr>
        <w:lastRenderedPageBreak/>
        <w:t>Trinity Library is a legal deposit library, granting the University the right to claim a copy of every book published in Ireland and the UK. At present, the Library’s holdings span approximately 6.5 million printed items, 400,000 e-books and 150,000 e-journals.</w:t>
      </w:r>
    </w:p>
    <w:p w14:paraId="060C518C" w14:textId="77777777" w:rsidR="005D1E54" w:rsidRDefault="005D1E54" w:rsidP="005D1E54">
      <w:pPr>
        <w:rPr>
          <w:rFonts w:cstheme="minorHAnsi"/>
          <w:color w:val="auto"/>
          <w:lang w:val="en-IE"/>
        </w:rPr>
      </w:pPr>
      <w:r w:rsidRPr="00517CC3">
        <w:rPr>
          <w:rFonts w:cstheme="minorHAnsi"/>
          <w:color w:val="auto"/>
          <w:lang w:val="en-IE"/>
        </w:rPr>
        <w:t>With over 120,000 alumni, Trinity’s tradition of independent intellectual inquiry has produced some of the world’s finest, most original minds including the writers Oscar Wilde and Samuel Beckett (Nobel laureates), the mathematician William Rowan Hamilton and the physicist Ernest Walton (Nobel laureate), the political thinker Edmund Burke, and the former President of Ireland Mary Robinson. This tradition finds expression today in a campus culture of scholarship, innovation, creativity, entrepreneurship and dedication to societal reform.</w:t>
      </w:r>
    </w:p>
    <w:p w14:paraId="21A11F02" w14:textId="77777777" w:rsidR="005D1E54" w:rsidRPr="00400BD5" w:rsidRDefault="005D1E54" w:rsidP="005D1E54">
      <w:pPr>
        <w:rPr>
          <w:rFonts w:cstheme="minorHAnsi"/>
          <w:color w:val="auto"/>
          <w:lang w:val="en-IE"/>
        </w:rPr>
      </w:pPr>
    </w:p>
    <w:p w14:paraId="3D2F5D94" w14:textId="77777777" w:rsidR="005D1E54" w:rsidRPr="00400BD5" w:rsidRDefault="005D1E54" w:rsidP="005D1E54">
      <w:pPr>
        <w:rPr>
          <w:rFonts w:cstheme="minorHAnsi"/>
          <w:color w:val="auto"/>
        </w:rPr>
      </w:pPr>
      <w:r w:rsidRPr="00400BD5">
        <w:rPr>
          <w:rFonts w:cstheme="minorHAnsi"/>
          <w:b/>
          <w:color w:val="auto"/>
        </w:rPr>
        <w:t>Rankings</w:t>
      </w:r>
    </w:p>
    <w:p w14:paraId="5D25C60A" w14:textId="77777777" w:rsidR="005D1E54" w:rsidRPr="00E7626D" w:rsidRDefault="005D1E54" w:rsidP="005D1E54">
      <w:pPr>
        <w:spacing w:after="300"/>
        <w:rPr>
          <w:color w:val="auto"/>
          <w:shd w:val="clear" w:color="auto" w:fill="FFFFFF"/>
        </w:rPr>
      </w:pPr>
      <w:r w:rsidRPr="00E7626D">
        <w:rPr>
          <w:color w:val="auto"/>
          <w:lang w:eastAsia="en-IE"/>
        </w:rPr>
        <w:t>Trinity College Dublin is the top ranked university in Ireland. Using the QS methodology we are ranked 98</w:t>
      </w:r>
      <w:r w:rsidRPr="00E7626D">
        <w:rPr>
          <w:color w:val="auto"/>
          <w:vertAlign w:val="superscript"/>
          <w:lang w:eastAsia="en-IE"/>
        </w:rPr>
        <w:t>th</w:t>
      </w:r>
      <w:r w:rsidRPr="00E7626D">
        <w:rPr>
          <w:color w:val="auto"/>
          <w:lang w:eastAsia="en-IE"/>
        </w:rPr>
        <w:t xml:space="preserve"> in the world and using the Times Higher Education World University Ranking methodology we are </w:t>
      </w:r>
      <w:r w:rsidRPr="00E7626D">
        <w:rPr>
          <w:color w:val="auto"/>
          <w:shd w:val="clear" w:color="auto" w:fill="FFFFFF"/>
        </w:rPr>
        <w:t>146th in the World.</w:t>
      </w:r>
    </w:p>
    <w:p w14:paraId="0D2B4E38" w14:textId="77777777" w:rsidR="005D1E54" w:rsidRPr="00E7626D" w:rsidRDefault="005D1E54" w:rsidP="005D1E54">
      <w:pPr>
        <w:numPr>
          <w:ilvl w:val="0"/>
          <w:numId w:val="18"/>
        </w:numPr>
        <w:spacing w:before="100" w:beforeAutospacing="1" w:after="100" w:afterAutospacing="1" w:line="240" w:lineRule="auto"/>
        <w:rPr>
          <w:rFonts w:eastAsia="Times New Roman"/>
          <w:color w:val="auto"/>
          <w:lang w:eastAsia="en-IE"/>
        </w:rPr>
      </w:pPr>
      <w:r w:rsidRPr="00E7626D">
        <w:rPr>
          <w:rFonts w:eastAsia="Times New Roman"/>
          <w:color w:val="auto"/>
          <w:lang w:eastAsia="en-IE"/>
        </w:rPr>
        <w:t>Trinity College Dublin is Ireland's No.1 University</w:t>
      </w:r>
      <w:r w:rsidRPr="00E7626D">
        <w:rPr>
          <w:rFonts w:eastAsia="Times New Roman"/>
          <w:color w:val="auto"/>
          <w:lang w:eastAsia="en-IE"/>
        </w:rPr>
        <w:br/>
        <w:t>(QS World University Ranking 2023, Times Higher Education Rankings 2022)</w:t>
      </w:r>
    </w:p>
    <w:p w14:paraId="516472FD" w14:textId="77777777" w:rsidR="005D1E54" w:rsidRPr="00E7626D" w:rsidRDefault="005D1E54" w:rsidP="005D1E54">
      <w:pPr>
        <w:numPr>
          <w:ilvl w:val="0"/>
          <w:numId w:val="18"/>
        </w:numPr>
        <w:spacing w:before="100" w:beforeAutospacing="1" w:after="100" w:afterAutospacing="1" w:line="240" w:lineRule="auto"/>
        <w:rPr>
          <w:color w:val="auto"/>
        </w:rPr>
      </w:pPr>
      <w:r w:rsidRPr="00E7626D">
        <w:rPr>
          <w:rFonts w:eastAsia="Times New Roman"/>
          <w:color w:val="auto"/>
          <w:lang w:eastAsia="en-IE"/>
        </w:rPr>
        <w:t>Trinity is ranked 98th in the World</w:t>
      </w:r>
      <w:r w:rsidRPr="00E7626D">
        <w:rPr>
          <w:rFonts w:eastAsia="Times New Roman"/>
          <w:color w:val="auto"/>
          <w:lang w:eastAsia="en-IE"/>
        </w:rPr>
        <w:br/>
        <w:t>(QS World University Ranking 2023)</w:t>
      </w:r>
    </w:p>
    <w:p w14:paraId="159C3A0A" w14:textId="77777777" w:rsidR="005D1E54" w:rsidRPr="00E7626D" w:rsidRDefault="005D1E54" w:rsidP="005D1E54">
      <w:pPr>
        <w:numPr>
          <w:ilvl w:val="0"/>
          <w:numId w:val="18"/>
        </w:numPr>
        <w:spacing w:before="100" w:beforeAutospacing="1" w:after="100" w:afterAutospacing="1" w:line="240" w:lineRule="auto"/>
        <w:rPr>
          <w:color w:val="auto"/>
        </w:rPr>
      </w:pPr>
      <w:r w:rsidRPr="00E7626D">
        <w:rPr>
          <w:rFonts w:eastAsia="Times New Roman"/>
          <w:color w:val="auto"/>
          <w:lang w:eastAsia="en-IE"/>
        </w:rPr>
        <w:t xml:space="preserve">Trinity is ranked No.1 in Europe </w:t>
      </w:r>
      <w:r w:rsidRPr="00E7626D">
        <w:rPr>
          <w:color w:val="auto"/>
        </w:rPr>
        <w:t>for Producing Entrepreneurs for the 7th year in a row Pitchbook 2021-2022</w:t>
      </w:r>
    </w:p>
    <w:p w14:paraId="256B5B37" w14:textId="77777777" w:rsidR="005D1E54" w:rsidRPr="00E7626D" w:rsidRDefault="005D1E54" w:rsidP="005D1E54">
      <w:pPr>
        <w:ind w:left="360"/>
        <w:rPr>
          <w:rFonts w:cstheme="minorHAnsi"/>
          <w:b/>
          <w:color w:val="auto"/>
        </w:rPr>
      </w:pPr>
      <w:r w:rsidRPr="00E7626D">
        <w:rPr>
          <w:rFonts w:cstheme="minorHAnsi"/>
          <w:color w:val="auto"/>
          <w:lang w:val="en-IE"/>
        </w:rPr>
        <w:t xml:space="preserve">Full details are available at: </w:t>
      </w:r>
      <w:hyperlink r:id="rId15" w:history="1">
        <w:r w:rsidRPr="00E7626D">
          <w:rPr>
            <w:rStyle w:val="Hyperlink"/>
            <w:rFonts w:cstheme="minorHAnsi"/>
            <w:color w:val="auto"/>
            <w:lang w:val="en-IE"/>
          </w:rPr>
          <w:t>www.tcd.ie/research/about/rankings</w:t>
        </w:r>
      </w:hyperlink>
      <w:r w:rsidRPr="00E7626D">
        <w:rPr>
          <w:rFonts w:cstheme="minorHAnsi"/>
          <w:color w:val="auto"/>
          <w:lang w:val="en-IE"/>
        </w:rPr>
        <w:t>.</w:t>
      </w:r>
    </w:p>
    <w:p w14:paraId="22970EB2" w14:textId="77777777" w:rsidR="005D1E54" w:rsidRPr="00400BD5" w:rsidRDefault="005D1E54" w:rsidP="005D1E54">
      <w:pPr>
        <w:spacing w:after="200"/>
        <w:rPr>
          <w:rFonts w:cstheme="minorHAnsi"/>
          <w:color w:val="auto"/>
        </w:rPr>
      </w:pPr>
    </w:p>
    <w:p w14:paraId="6AFA11D8" w14:textId="77777777" w:rsidR="005D1E54" w:rsidRPr="00F2489C" w:rsidRDefault="005D1E54" w:rsidP="00792986">
      <w:pPr>
        <w:rPr>
          <w:b/>
          <w:color w:val="000000" w:themeColor="text1"/>
        </w:rPr>
      </w:pPr>
    </w:p>
    <w:p w14:paraId="3FF08348" w14:textId="77777777" w:rsidR="00792986" w:rsidRPr="00A519F4" w:rsidRDefault="00792986" w:rsidP="00792986">
      <w:pPr>
        <w:spacing w:after="200" w:line="276" w:lineRule="auto"/>
        <w:rPr>
          <w:color w:val="000000" w:themeColor="text1"/>
        </w:rPr>
      </w:pPr>
    </w:p>
    <w:p w14:paraId="08E92738" w14:textId="77777777" w:rsidR="00792986" w:rsidRPr="00A519F4" w:rsidRDefault="00792986" w:rsidP="00792986">
      <w:pPr>
        <w:rPr>
          <w:color w:val="000000" w:themeColor="text1"/>
        </w:rPr>
        <w:sectPr w:rsidR="00792986" w:rsidRPr="00A519F4" w:rsidSect="0087685C">
          <w:footerReference w:type="default" r:id="rId16"/>
          <w:headerReference w:type="first" r:id="rId17"/>
          <w:type w:val="continuous"/>
          <w:pgSz w:w="11906" w:h="16838"/>
          <w:pgMar w:top="2096" w:right="1274" w:bottom="993" w:left="1440" w:header="284" w:footer="239" w:gutter="0"/>
          <w:cols w:space="708"/>
          <w:formProt w:val="0"/>
          <w:titlePg/>
          <w:docGrid w:linePitch="360"/>
        </w:sectPr>
      </w:pPr>
    </w:p>
    <w:p w14:paraId="73923C73" w14:textId="77777777" w:rsidR="00792986" w:rsidRPr="00A519F4" w:rsidRDefault="00792986" w:rsidP="00792986">
      <w:pPr>
        <w:rPr>
          <w:color w:val="000000" w:themeColor="text1"/>
        </w:rPr>
      </w:pPr>
      <w:r w:rsidRPr="00A519F4">
        <w:rPr>
          <w:color w:val="000000" w:themeColor="text1"/>
        </w:rPr>
        <w:br w:type="page"/>
      </w:r>
    </w:p>
    <w:p w14:paraId="4C25EEF4" w14:textId="77777777" w:rsidR="00792986" w:rsidRPr="00A519F4" w:rsidRDefault="00792986" w:rsidP="00792986">
      <w:pPr>
        <w:rPr>
          <w:b/>
          <w:color w:val="000000" w:themeColor="text1"/>
          <w:lang w:val="en-IE"/>
        </w:rPr>
        <w:sectPr w:rsidR="00792986" w:rsidRPr="00A519F4" w:rsidSect="005F3E29">
          <w:type w:val="continuous"/>
          <w:pgSz w:w="11906" w:h="16838"/>
          <w:pgMar w:top="1440" w:right="1274" w:bottom="993" w:left="1440" w:header="708" w:footer="239" w:gutter="0"/>
          <w:cols w:space="708"/>
          <w:docGrid w:linePitch="360"/>
        </w:sectPr>
      </w:pPr>
    </w:p>
    <w:p w14:paraId="3851EB6A" w14:textId="77777777" w:rsidR="00792986" w:rsidRPr="00400BD5" w:rsidRDefault="00792986" w:rsidP="00792986">
      <w:pPr>
        <w:rPr>
          <w:rFonts w:cstheme="minorHAnsi"/>
          <w:b/>
          <w:color w:val="auto"/>
        </w:rPr>
      </w:pPr>
      <w:r w:rsidRPr="00400BD5">
        <w:rPr>
          <w:rFonts w:cstheme="minorHAnsi"/>
          <w:b/>
          <w:color w:val="auto"/>
        </w:rPr>
        <w:lastRenderedPageBreak/>
        <w:t>The Selection Process in Trinity</w:t>
      </w:r>
    </w:p>
    <w:p w14:paraId="39C10D7C" w14:textId="77777777" w:rsidR="00792986" w:rsidRPr="00400BD5" w:rsidRDefault="00792986" w:rsidP="00792986">
      <w:pPr>
        <w:rPr>
          <w:rFonts w:cstheme="minorHAnsi"/>
          <w:color w:val="auto"/>
        </w:rPr>
      </w:pPr>
    </w:p>
    <w:p w14:paraId="3E2F2EEE" w14:textId="77777777" w:rsidR="00792986" w:rsidRPr="00400BD5" w:rsidRDefault="00792986" w:rsidP="00792986">
      <w:pPr>
        <w:rPr>
          <w:rFonts w:cstheme="minorHAnsi"/>
          <w:color w:val="auto"/>
        </w:rPr>
      </w:pPr>
      <w:r w:rsidRPr="00400BD5">
        <w:rPr>
          <w:rFonts w:cstheme="minorHAnsi"/>
          <w:color w:val="auto"/>
        </w:rPr>
        <w:t xml:space="preserve">The Selection Committee (Interview Panel) may include members of the Academic and Administrative community together with External Assessor(s) who are expert in the area. Applications will be acknowledged by email. If you do not receive confirmation of receipt within 1 day of submitting your application online, please contact the named Recruitment Partner on the job specification immediately and prior to the closing date/time.  </w:t>
      </w:r>
    </w:p>
    <w:p w14:paraId="332834FB" w14:textId="77777777" w:rsidR="00792986" w:rsidRPr="00400BD5" w:rsidRDefault="00792986" w:rsidP="00792986">
      <w:pPr>
        <w:rPr>
          <w:rFonts w:cstheme="minorHAnsi"/>
          <w:color w:val="auto"/>
        </w:rPr>
      </w:pPr>
    </w:p>
    <w:p w14:paraId="288556D4" w14:textId="77777777" w:rsidR="00792986" w:rsidRPr="00400BD5" w:rsidRDefault="00792986" w:rsidP="00792986">
      <w:pPr>
        <w:rPr>
          <w:rFonts w:cstheme="minorHAnsi"/>
          <w:color w:val="auto"/>
          <w:lang w:val="en-IE"/>
        </w:rPr>
      </w:pPr>
      <w:r w:rsidRPr="00400BD5">
        <w:rPr>
          <w:rFonts w:cstheme="minorHAnsi"/>
          <w:color w:val="auto"/>
          <w:lang w:val="en-IE"/>
        </w:rPr>
        <w:t xml:space="preserve">Given the degree of co-ordination and planning to have a Selection Committee available on the specified date, the University regrets that it may not be in a position to offer alternate selection dates.  Where candidates are unavailable, reserves may be drawn from a shortlist. Outcomes of interviews are notified in writing to candidates and are issued no later than 5 working days following the selection day.  </w:t>
      </w:r>
    </w:p>
    <w:p w14:paraId="1E60CE19" w14:textId="77777777" w:rsidR="00792986" w:rsidRPr="00400BD5" w:rsidRDefault="00792986" w:rsidP="00792986">
      <w:pPr>
        <w:rPr>
          <w:rFonts w:cstheme="minorHAnsi"/>
          <w:color w:val="auto"/>
          <w:lang w:val="en-IE"/>
        </w:rPr>
      </w:pPr>
    </w:p>
    <w:p w14:paraId="02CF48B6" w14:textId="77777777" w:rsidR="00792986" w:rsidRPr="00400BD5" w:rsidRDefault="00792986" w:rsidP="00792986">
      <w:pPr>
        <w:rPr>
          <w:rFonts w:cstheme="minorHAnsi"/>
          <w:color w:val="auto"/>
          <w:lang w:val="en-IE"/>
        </w:rPr>
      </w:pPr>
      <w:r w:rsidRPr="00400BD5">
        <w:rPr>
          <w:rFonts w:cstheme="minorHAnsi"/>
          <w:color w:val="auto"/>
          <w:lang w:val="en-IE"/>
        </w:rPr>
        <w:t>In some instances the Selection Committee may avail of telephone or video conferencing. The University’s selection methods may consist of any or all of the following: Interviews, Presentations, Psychometric Testing, References and Situational Exercises.</w:t>
      </w:r>
    </w:p>
    <w:p w14:paraId="6525275C" w14:textId="77777777" w:rsidR="00792986" w:rsidRPr="00400BD5" w:rsidRDefault="00792986" w:rsidP="00792986">
      <w:pPr>
        <w:rPr>
          <w:rFonts w:cstheme="minorHAnsi"/>
          <w:color w:val="auto"/>
          <w:lang w:val="en-IE"/>
        </w:rPr>
      </w:pPr>
    </w:p>
    <w:p w14:paraId="5D63EBEF" w14:textId="77777777" w:rsidR="00792986" w:rsidRPr="00400BD5" w:rsidRDefault="00792986" w:rsidP="00792986">
      <w:pPr>
        <w:rPr>
          <w:rFonts w:cstheme="minorHAnsi"/>
          <w:color w:val="auto"/>
        </w:rPr>
      </w:pPr>
      <w:r w:rsidRPr="00400BD5">
        <w:rPr>
          <w:rFonts w:cstheme="minorHAnsi"/>
          <w:color w:val="auto"/>
          <w:lang w:val="en-IE"/>
        </w:rPr>
        <w:t xml:space="preserve">It is the policy of the University to conduct pre-employment medical screening/full pre-employment medicals. </w:t>
      </w:r>
      <w:r w:rsidRPr="00400BD5">
        <w:rPr>
          <w:rFonts w:cstheme="minorHAnsi"/>
          <w:color w:val="auto"/>
        </w:rPr>
        <w:t xml:space="preserve">Information supplied by candidates in their application (Cover Letter and CV) will be used to shortlist for interview. </w:t>
      </w:r>
    </w:p>
    <w:p w14:paraId="5D5F15CD" w14:textId="77777777" w:rsidR="00792986" w:rsidRPr="00400BD5" w:rsidRDefault="00792986" w:rsidP="00792986">
      <w:pPr>
        <w:rPr>
          <w:rFonts w:cstheme="minorHAnsi"/>
          <w:color w:val="auto"/>
        </w:rPr>
      </w:pPr>
    </w:p>
    <w:p w14:paraId="23D43B7B" w14:textId="77777777" w:rsidR="00792986" w:rsidRPr="00400BD5" w:rsidRDefault="00792986" w:rsidP="00792986">
      <w:pPr>
        <w:rPr>
          <w:rFonts w:cstheme="minorHAnsi"/>
          <w:color w:val="auto"/>
          <w:lang w:val="en-IE"/>
        </w:rPr>
      </w:pPr>
      <w:r w:rsidRPr="00400BD5">
        <w:rPr>
          <w:rFonts w:cstheme="minorHAnsi"/>
          <w:color w:val="auto"/>
          <w:lang w:val="en-IE"/>
        </w:rPr>
        <w:t xml:space="preserve">Applications from non-EEA citizens are welcomed. However, eligibility is determined by the Department of Business, Enterprise and Innovation and further information on the Highly Skills Eligible Occupations List is set out in Schedule 3 of the Regulations </w:t>
      </w:r>
      <w:hyperlink r:id="rId18" w:history="1">
        <w:r w:rsidRPr="00400BD5">
          <w:rPr>
            <w:rStyle w:val="Hyperlink"/>
            <w:rFonts w:eastAsia="Times New Roman" w:cstheme="minorHAnsi"/>
          </w:rPr>
          <w:t>https://dbei.gov.ie/en/What-We-Do/Workplace-and-Skills/Employment-Permits/Employment-Permit-Eligibility/Highly-Skilled-Eligible-Occupations-List/</w:t>
        </w:r>
      </w:hyperlink>
      <w:r w:rsidRPr="00400BD5">
        <w:rPr>
          <w:rFonts w:cstheme="minorHAnsi"/>
          <w:color w:val="0070C0"/>
          <w:lang w:val="en-IE"/>
        </w:rPr>
        <w:t xml:space="preserve"> </w:t>
      </w:r>
      <w:r w:rsidRPr="00400BD5">
        <w:rPr>
          <w:rFonts w:cstheme="minorHAnsi"/>
          <w:color w:val="auto"/>
          <w:lang w:val="en-IE"/>
        </w:rPr>
        <w:t xml:space="preserve">and the  Ineligible Categories of Employment are set out in Schedule 4 of the Regulations  </w:t>
      </w:r>
      <w:hyperlink r:id="rId19" w:history="1">
        <w:r w:rsidRPr="00400BD5">
          <w:rPr>
            <w:rStyle w:val="Hyperlink"/>
            <w:rFonts w:cstheme="minorHAnsi"/>
          </w:rPr>
          <w:t>https://dbei.gov.ie/en/What-We-Do/Workplace-and-Skills/Employment-Permits/Employment-Permit-Eligibility/Ineligible-Categories-of-Employment/</w:t>
        </w:r>
      </w:hyperlink>
      <w:r w:rsidRPr="00400BD5">
        <w:rPr>
          <w:rFonts w:cstheme="minorHAnsi"/>
        </w:rPr>
        <w:t xml:space="preserve"> </w:t>
      </w:r>
      <w:r w:rsidRPr="00400BD5">
        <w:rPr>
          <w:rFonts w:cstheme="minorHAnsi"/>
          <w:color w:val="auto"/>
        </w:rPr>
        <w:t xml:space="preserve">. </w:t>
      </w:r>
      <w:r w:rsidRPr="00400BD5">
        <w:rPr>
          <w:rFonts w:cstheme="minorHAnsi"/>
          <w:color w:val="auto"/>
          <w:lang w:val="en-IE"/>
        </w:rPr>
        <w:t xml:space="preserve">Non-EEA candidates should note that the onus is on them to secure a visa to travel to Ireland prior to interview. Non-EEA candidates should also be aware that even if successful at interview, an appointment to the post is contingent on the securing of an employment permit. </w:t>
      </w:r>
      <w:r w:rsidRPr="00400BD5">
        <w:rPr>
          <w:rFonts w:cstheme="minorHAnsi"/>
          <w:color w:val="auto"/>
          <w:lang w:val="en-IE"/>
        </w:rPr>
        <w:br w:type="page"/>
      </w:r>
    </w:p>
    <w:p w14:paraId="1FFAA7A4" w14:textId="77777777" w:rsidR="00792986" w:rsidRPr="00400BD5" w:rsidRDefault="00792986" w:rsidP="00792986">
      <w:pPr>
        <w:rPr>
          <w:rFonts w:cstheme="minorHAnsi"/>
          <w:color w:val="auto"/>
          <w:lang w:val="en-IE"/>
        </w:rPr>
        <w:sectPr w:rsidR="00792986" w:rsidRPr="00400BD5">
          <w:type w:val="continuous"/>
          <w:pgSz w:w="11906" w:h="16838"/>
          <w:pgMar w:top="1440" w:right="1274" w:bottom="993" w:left="1440" w:header="708" w:footer="239" w:gutter="0"/>
          <w:cols w:space="720"/>
        </w:sectPr>
      </w:pPr>
    </w:p>
    <w:p w14:paraId="6DFDFCC4" w14:textId="77777777" w:rsidR="00792986" w:rsidRPr="00400BD5" w:rsidRDefault="00792986" w:rsidP="00792986">
      <w:pPr>
        <w:rPr>
          <w:rFonts w:cstheme="minorHAnsi"/>
          <w:b/>
          <w:color w:val="auto"/>
          <w:lang w:val="en-IE"/>
        </w:rPr>
      </w:pPr>
      <w:r w:rsidRPr="00400BD5">
        <w:rPr>
          <w:rFonts w:cstheme="minorHAnsi"/>
          <w:b/>
          <w:color w:val="auto"/>
          <w:lang w:val="en-IE"/>
        </w:rPr>
        <w:lastRenderedPageBreak/>
        <w:t>Equal Opportunities Policy</w:t>
      </w:r>
    </w:p>
    <w:p w14:paraId="43D6E244" w14:textId="77777777" w:rsidR="00792986" w:rsidRPr="00400BD5" w:rsidRDefault="00792986" w:rsidP="00792986">
      <w:pPr>
        <w:rPr>
          <w:rFonts w:cstheme="minorHAnsi"/>
          <w:color w:val="auto"/>
          <w:lang w:val="en-IE"/>
        </w:rPr>
      </w:pPr>
    </w:p>
    <w:p w14:paraId="25B3164F" w14:textId="77777777" w:rsidR="00792986" w:rsidRPr="00400BD5" w:rsidRDefault="00792986" w:rsidP="00792986">
      <w:pPr>
        <w:rPr>
          <w:rFonts w:cstheme="minorHAnsi"/>
          <w:color w:val="auto"/>
          <w:lang w:val="en-IE"/>
        </w:rPr>
      </w:pPr>
      <w:r w:rsidRPr="00400BD5">
        <w:rPr>
          <w:rFonts w:cstheme="minorHAnsi"/>
          <w:color w:val="auto"/>
          <w:lang w:val="en-IE"/>
        </w:rPr>
        <w:t xml:space="preserve">Trinity is an equal opportunities employer and is committed to employment policies, procedures and practices which do not discriminate on grounds such as gender, civil status, family status, age, disability, race, religious belief, sexual orientation or membership of the travelling community. On that basis we encourage and welcome talented people from all backgrounds to join our staff community. Trinity’s Diversity Statement can be viewed in full at </w:t>
      </w:r>
      <w:hyperlink r:id="rId20" w:history="1">
        <w:r w:rsidRPr="00400BD5">
          <w:rPr>
            <w:rStyle w:val="Hyperlink"/>
            <w:rFonts w:cstheme="minorHAnsi"/>
            <w:lang w:val="en-IE"/>
          </w:rPr>
          <w:t>https://www.tcd.ie/diversity-inclusion/diversity-statement</w:t>
        </w:r>
      </w:hyperlink>
      <w:r w:rsidRPr="00400BD5">
        <w:rPr>
          <w:rFonts w:cstheme="minorHAnsi"/>
          <w:color w:val="0000FF"/>
          <w:lang w:val="en-IE"/>
        </w:rPr>
        <w:t>.</w:t>
      </w:r>
    </w:p>
    <w:p w14:paraId="626B92BD" w14:textId="77777777" w:rsidR="00792986" w:rsidRPr="00400BD5" w:rsidRDefault="00792986" w:rsidP="00792986">
      <w:pPr>
        <w:rPr>
          <w:rFonts w:cstheme="minorHAnsi"/>
          <w:color w:val="auto"/>
          <w:lang w:val="en-IE"/>
        </w:rPr>
      </w:pPr>
      <w:r w:rsidRPr="00400BD5">
        <w:rPr>
          <w:rFonts w:cstheme="minorHAnsi"/>
          <w:color w:val="auto"/>
          <w:lang w:val="en-IE"/>
        </w:rPr>
        <w:t xml:space="preserve">    </w:t>
      </w:r>
    </w:p>
    <w:p w14:paraId="53E945C9" w14:textId="77777777" w:rsidR="00792986" w:rsidRPr="00400BD5" w:rsidRDefault="00792986" w:rsidP="00792986">
      <w:pPr>
        <w:rPr>
          <w:rFonts w:cstheme="minorHAnsi"/>
          <w:color w:val="auto"/>
          <w:lang w:val="en-IE"/>
        </w:rPr>
        <w:sectPr w:rsidR="00792986" w:rsidRPr="00400BD5">
          <w:type w:val="continuous"/>
          <w:pgSz w:w="11906" w:h="16838"/>
          <w:pgMar w:top="1440" w:right="1274" w:bottom="993" w:left="1440" w:header="708" w:footer="239" w:gutter="0"/>
          <w:cols w:space="720"/>
        </w:sectPr>
      </w:pPr>
    </w:p>
    <w:p w14:paraId="372703CA" w14:textId="77777777" w:rsidR="00792986" w:rsidRPr="00400BD5" w:rsidRDefault="00792986" w:rsidP="00792986">
      <w:pPr>
        <w:rPr>
          <w:rFonts w:cstheme="minorHAnsi"/>
          <w:color w:val="auto"/>
          <w:lang w:val="en-IE"/>
        </w:rPr>
      </w:pPr>
    </w:p>
    <w:p w14:paraId="6EC93911" w14:textId="77777777" w:rsidR="00792986" w:rsidRPr="00400BD5" w:rsidRDefault="00792986" w:rsidP="00792986">
      <w:pPr>
        <w:spacing w:after="200"/>
        <w:rPr>
          <w:rFonts w:cstheme="minorHAnsi"/>
          <w:color w:val="auto"/>
          <w:sz w:val="22"/>
        </w:rPr>
      </w:pPr>
      <w:r w:rsidRPr="00400BD5">
        <w:rPr>
          <w:rFonts w:cstheme="minorHAnsi"/>
          <w:color w:val="auto"/>
          <w:sz w:val="22"/>
        </w:rPr>
        <w:br w:type="page"/>
      </w:r>
    </w:p>
    <w:p w14:paraId="389F3577" w14:textId="77777777" w:rsidR="00792986" w:rsidRPr="00A519F4" w:rsidRDefault="00792986" w:rsidP="00792986">
      <w:pPr>
        <w:rPr>
          <w:b/>
          <w:color w:val="000000" w:themeColor="text1"/>
          <w:lang w:val="en-IE"/>
        </w:rPr>
        <w:sectPr w:rsidR="00792986" w:rsidRPr="00A519F4" w:rsidSect="005F3E29">
          <w:type w:val="continuous"/>
          <w:pgSz w:w="11906" w:h="16838"/>
          <w:pgMar w:top="1440" w:right="1274" w:bottom="993" w:left="1440" w:header="708" w:footer="239" w:gutter="0"/>
          <w:cols w:space="708"/>
          <w:docGrid w:linePitch="360"/>
        </w:sectPr>
      </w:pPr>
    </w:p>
    <w:p w14:paraId="4ED2EC79" w14:textId="77777777" w:rsidR="00792986" w:rsidRPr="00A519F4" w:rsidRDefault="00792986" w:rsidP="00792986">
      <w:pPr>
        <w:rPr>
          <w:b/>
          <w:color w:val="000000" w:themeColor="text1"/>
          <w:lang w:val="en-IE"/>
        </w:rPr>
      </w:pPr>
      <w:r w:rsidRPr="00A519F4">
        <w:rPr>
          <w:b/>
          <w:color w:val="000000" w:themeColor="text1"/>
          <w:lang w:val="en-IE"/>
        </w:rPr>
        <w:lastRenderedPageBreak/>
        <w:t>Application Procedure</w:t>
      </w:r>
    </w:p>
    <w:p w14:paraId="0CC6BA6C" w14:textId="77777777" w:rsidR="00792986" w:rsidRPr="00A519F4" w:rsidRDefault="00792986" w:rsidP="00792986">
      <w:pPr>
        <w:pStyle w:val="BlockText"/>
        <w:spacing w:before="0" w:beforeAutospacing="0" w:after="0" w:line="360" w:lineRule="auto"/>
        <w:ind w:left="0"/>
        <w:contextualSpacing/>
        <w:jc w:val="left"/>
        <w:rPr>
          <w:rFonts w:asciiTheme="minorHAnsi" w:hAnsiTheme="minorHAnsi"/>
          <w:color w:val="000000" w:themeColor="text1"/>
          <w:sz w:val="24"/>
          <w:lang w:val="en-IE"/>
        </w:rPr>
      </w:pPr>
    </w:p>
    <w:p w14:paraId="3EEA7A41" w14:textId="77777777" w:rsidR="00792986" w:rsidRPr="00A519F4" w:rsidRDefault="00792986" w:rsidP="00792986">
      <w:pPr>
        <w:pBdr>
          <w:top w:val="single" w:sz="4" w:space="1" w:color="auto"/>
          <w:left w:val="single" w:sz="4" w:space="4" w:color="auto"/>
          <w:bottom w:val="single" w:sz="4" w:space="1" w:color="auto"/>
          <w:right w:val="single" w:sz="4" w:space="4" w:color="auto"/>
        </w:pBdr>
        <w:shd w:val="clear" w:color="auto" w:fill="E0E0E0"/>
        <w:contextualSpacing/>
        <w:rPr>
          <w:rFonts w:cs="Arial"/>
          <w:b/>
          <w:bCs/>
          <w:color w:val="000000" w:themeColor="text1"/>
          <w:u w:val="single"/>
          <w:lang w:val="en-IE"/>
        </w:rPr>
      </w:pPr>
    </w:p>
    <w:p w14:paraId="4460F238" w14:textId="77777777" w:rsidR="00792986" w:rsidRPr="00041E49"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41E49">
        <w:rPr>
          <w:rFonts w:cs="Arial"/>
          <w:b/>
          <w:bCs/>
          <w:color w:val="auto"/>
          <w:lang w:val="en-IE"/>
        </w:rPr>
        <w:t>Application Procedure</w:t>
      </w:r>
    </w:p>
    <w:p w14:paraId="563929AE" w14:textId="77777777" w:rsidR="00792986"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p>
    <w:p w14:paraId="6A00E228" w14:textId="77777777" w:rsidR="00792986"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r w:rsidRPr="00041E49">
        <w:rPr>
          <w:rFonts w:cs="Arial"/>
          <w:bCs/>
          <w:color w:val="auto"/>
          <w:lang w:val="en-IE"/>
        </w:rPr>
        <w:t xml:space="preserve">Applicants should submit a full Curriculum </w:t>
      </w:r>
      <w:r w:rsidRPr="00041E49">
        <w:rPr>
          <w:rFonts w:cs="Arial"/>
          <w:bCs/>
          <w:color w:val="auto"/>
        </w:rPr>
        <w:t>Vitae</w:t>
      </w:r>
      <w:r w:rsidRPr="00041E49">
        <w:rPr>
          <w:rFonts w:cs="Arial"/>
          <w:bCs/>
          <w:color w:val="auto"/>
          <w:lang w:val="en-IE"/>
        </w:rPr>
        <w:t xml:space="preserve"> to include the names and contact details of 2 referees (including email addresses), to:- </w:t>
      </w:r>
    </w:p>
    <w:p w14:paraId="3EF11297" w14:textId="77777777" w:rsidR="00792986" w:rsidRPr="000F3E43"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Name</w:t>
      </w:r>
    </w:p>
    <w:p w14:paraId="41630093" w14:textId="77777777" w:rsidR="00792986" w:rsidRPr="000F3E43"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Email Address</w:t>
      </w:r>
    </w:p>
    <w:p w14:paraId="0E19D974" w14:textId="77777777" w:rsidR="00792986"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10B7E6A6" w14:textId="77777777" w:rsidR="00792986" w:rsidRPr="00454FFB"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7A1827EC" w14:textId="77777777" w:rsidR="00792986" w:rsidRDefault="00792986" w:rsidP="00792986">
      <w:pPr>
        <w:rPr>
          <w:color w:val="000000" w:themeColor="text1"/>
          <w:sz w:val="22"/>
        </w:rPr>
      </w:pPr>
    </w:p>
    <w:p w14:paraId="0BC07CBA" w14:textId="77777777" w:rsidR="00792986" w:rsidRPr="00A519F4" w:rsidRDefault="00792986" w:rsidP="00792986">
      <w:pPr>
        <w:jc w:val="center"/>
        <w:rPr>
          <w:color w:val="000000" w:themeColor="text1"/>
          <w:sz w:val="22"/>
        </w:rPr>
      </w:pPr>
      <w:r>
        <w:rPr>
          <w:noProof/>
          <w:lang w:val="en-IE" w:eastAsia="en-IE"/>
        </w:rPr>
        <w:drawing>
          <wp:inline distT="0" distB="0" distL="0" distR="0" wp14:anchorId="00245764" wp14:editId="0D39493C">
            <wp:extent cx="5836920" cy="1653170"/>
            <wp:effectExtent l="0" t="0" r="0" b="4445"/>
            <wp:docPr id="3" name="Picture 3" descr="R:\Recruitment\Templates\Job Description Templates\Logos.jpg"/>
            <wp:cNvGraphicFramePr/>
            <a:graphic xmlns:a="http://schemas.openxmlformats.org/drawingml/2006/main">
              <a:graphicData uri="http://schemas.openxmlformats.org/drawingml/2006/picture">
                <pic:pic xmlns:pic="http://schemas.openxmlformats.org/drawingml/2006/picture">
                  <pic:nvPicPr>
                    <pic:cNvPr id="5" name="Picture 5" descr="R:\Recruitment\Templates\Job Description Templates\Logos.jp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6920" cy="1653170"/>
                    </a:xfrm>
                    <a:prstGeom prst="rect">
                      <a:avLst/>
                    </a:prstGeom>
                    <a:noFill/>
                    <a:ln>
                      <a:noFill/>
                    </a:ln>
                  </pic:spPr>
                </pic:pic>
              </a:graphicData>
            </a:graphic>
          </wp:inline>
        </w:drawing>
      </w:r>
    </w:p>
    <w:p w14:paraId="727DA5F0" w14:textId="77777777" w:rsidR="00792986" w:rsidRPr="004E38E0" w:rsidRDefault="00792986" w:rsidP="00792986"/>
    <w:p w14:paraId="5953D522" w14:textId="77777777" w:rsidR="00771180" w:rsidRPr="00792986" w:rsidRDefault="00771180" w:rsidP="00792986"/>
    <w:sectPr w:rsidR="00771180" w:rsidRPr="00792986" w:rsidSect="005F3E29">
      <w:footerReference w:type="default" r:id="rId22"/>
      <w:headerReference w:type="first" r:id="rId23"/>
      <w:type w:val="continuous"/>
      <w:pgSz w:w="11906" w:h="16838"/>
      <w:pgMar w:top="1440" w:right="1274" w:bottom="993" w:left="1440" w:header="708" w:footer="2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35E0" w14:textId="77777777" w:rsidR="00352536" w:rsidRDefault="00352536" w:rsidP="009D27B0">
      <w:pPr>
        <w:spacing w:line="240" w:lineRule="auto"/>
      </w:pPr>
      <w:r>
        <w:separator/>
      </w:r>
    </w:p>
  </w:endnote>
  <w:endnote w:type="continuationSeparator" w:id="0">
    <w:p w14:paraId="5B98C7D4" w14:textId="77777777" w:rsidR="00352536" w:rsidRDefault="00352536" w:rsidP="009D2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34156"/>
      <w:docPartObj>
        <w:docPartGallery w:val="Page Numbers (Bottom of Page)"/>
        <w:docPartUnique/>
      </w:docPartObj>
    </w:sdtPr>
    <w:sdtEndPr>
      <w:rPr>
        <w:noProof/>
      </w:rPr>
    </w:sdtEndPr>
    <w:sdtContent>
      <w:p w14:paraId="4A0C58D7" w14:textId="77777777" w:rsidR="00792986" w:rsidRDefault="007929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B911D0" w14:textId="77777777" w:rsidR="00792986" w:rsidRDefault="00792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2102" w14:textId="77777777" w:rsidR="000A2924" w:rsidRPr="000A2924" w:rsidRDefault="000A2924">
    <w:pPr>
      <w:pStyle w:val="Footer"/>
      <w:jc w:val="center"/>
      <w:rPr>
        <w:caps/>
        <w:noProof/>
        <w:color w:val="000000" w:themeColor="text1"/>
      </w:rPr>
    </w:pPr>
    <w:r w:rsidRPr="000A2924">
      <w:rPr>
        <w:caps/>
        <w:color w:val="000000" w:themeColor="text1"/>
      </w:rPr>
      <w:fldChar w:fldCharType="begin"/>
    </w:r>
    <w:r w:rsidRPr="000A2924">
      <w:rPr>
        <w:caps/>
        <w:color w:val="000000" w:themeColor="text1"/>
      </w:rPr>
      <w:instrText xml:space="preserve"> PAGE   \* MERGEFORMAT </w:instrText>
    </w:r>
    <w:r w:rsidRPr="000A2924">
      <w:rPr>
        <w:caps/>
        <w:color w:val="000000" w:themeColor="text1"/>
      </w:rPr>
      <w:fldChar w:fldCharType="separate"/>
    </w:r>
    <w:r w:rsidRPr="000A2924">
      <w:rPr>
        <w:caps/>
        <w:noProof/>
        <w:color w:val="000000" w:themeColor="text1"/>
      </w:rPr>
      <w:t>2</w:t>
    </w:r>
    <w:r w:rsidRPr="000A2924">
      <w:rPr>
        <w:caps/>
        <w:noProof/>
        <w:color w:val="000000" w:themeColor="text1"/>
      </w:rPr>
      <w:fldChar w:fldCharType="end"/>
    </w:r>
  </w:p>
  <w:p w14:paraId="70655338" w14:textId="77777777" w:rsidR="009D27B0" w:rsidRDefault="009D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3539" w14:textId="77777777" w:rsidR="00352536" w:rsidRDefault="00352536" w:rsidP="009D27B0">
      <w:pPr>
        <w:spacing w:line="240" w:lineRule="auto"/>
      </w:pPr>
      <w:r>
        <w:separator/>
      </w:r>
    </w:p>
  </w:footnote>
  <w:footnote w:type="continuationSeparator" w:id="0">
    <w:p w14:paraId="676B9885" w14:textId="77777777" w:rsidR="00352536" w:rsidRDefault="00352536" w:rsidP="009D2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7466" w14:textId="77777777" w:rsidR="00792986" w:rsidRDefault="00792986" w:rsidP="0087685C">
    <w:pPr>
      <w:pStyle w:val="Header"/>
      <w:ind w:left="-1134"/>
    </w:pPr>
    <w:r w:rsidRPr="005423E3">
      <w:rPr>
        <w:noProof/>
        <w:lang w:val="en-IE" w:eastAsia="en-IE"/>
      </w:rPr>
      <w:drawing>
        <wp:inline distT="0" distB="0" distL="0" distR="0" wp14:anchorId="04EC2835" wp14:editId="72CF1E1E">
          <wp:extent cx="3108960" cy="1200969"/>
          <wp:effectExtent l="0" t="0" r="0" b="0"/>
          <wp:docPr id="4" name="Picture 4"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70" cy="12051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7922" w14:textId="77777777" w:rsidR="0087685C" w:rsidRDefault="007152D9" w:rsidP="0087685C">
    <w:pPr>
      <w:pStyle w:val="Header"/>
      <w:ind w:left="-1134"/>
    </w:pPr>
    <w:r w:rsidRPr="007152D9">
      <w:rPr>
        <w:noProof/>
        <w:lang w:val="en-IE" w:eastAsia="en-IE"/>
      </w:rPr>
      <w:drawing>
        <wp:inline distT="0" distB="0" distL="0" distR="0" wp14:anchorId="0EC34CD4" wp14:editId="75671217">
          <wp:extent cx="3573780" cy="1380526"/>
          <wp:effectExtent l="0" t="0" r="7620" b="0"/>
          <wp:docPr id="2" name="Picture 2"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017" cy="13852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535"/>
    <w:multiLevelType w:val="hybridMultilevel"/>
    <w:tmpl w:val="E88AB1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4103CD"/>
    <w:multiLevelType w:val="hybridMultilevel"/>
    <w:tmpl w:val="06984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CC7AED"/>
    <w:multiLevelType w:val="hybridMultilevel"/>
    <w:tmpl w:val="314A3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2537FF"/>
    <w:multiLevelType w:val="hybridMultilevel"/>
    <w:tmpl w:val="DC044906"/>
    <w:lvl w:ilvl="0" w:tplc="AFCEEC12">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474763"/>
    <w:multiLevelType w:val="hybridMultilevel"/>
    <w:tmpl w:val="62D4E8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8D7439"/>
    <w:multiLevelType w:val="hybridMultilevel"/>
    <w:tmpl w:val="F23EBB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A7B8B"/>
    <w:multiLevelType w:val="multilevel"/>
    <w:tmpl w:val="CE843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F5FED"/>
    <w:multiLevelType w:val="hybridMultilevel"/>
    <w:tmpl w:val="28BC121E"/>
    <w:lvl w:ilvl="0" w:tplc="A6FEE1F6">
      <w:start w:val="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7A663C"/>
    <w:multiLevelType w:val="multilevel"/>
    <w:tmpl w:val="B2669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276EFE"/>
    <w:multiLevelType w:val="hybridMultilevel"/>
    <w:tmpl w:val="8562863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832C99"/>
    <w:multiLevelType w:val="hybridMultilevel"/>
    <w:tmpl w:val="2564F7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1" w15:restartNumberingAfterBreak="0">
    <w:nsid w:val="4B7B7BE0"/>
    <w:multiLevelType w:val="hybridMultilevel"/>
    <w:tmpl w:val="B6BE326C"/>
    <w:lvl w:ilvl="0" w:tplc="CDEE98CE">
      <w:start w:val="1"/>
      <w:numFmt w:val="decimal"/>
      <w:lvlText w:val="%1."/>
      <w:lvlJc w:val="left"/>
      <w:pPr>
        <w:ind w:left="363" w:hanging="360"/>
      </w:pPr>
      <w:rPr>
        <w:rFonts w:ascii="Arial" w:eastAsia="Times New Roman" w:hAnsi="Arial" w:cs="Arial"/>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12" w15:restartNumberingAfterBreak="0">
    <w:nsid w:val="5881049E"/>
    <w:multiLevelType w:val="hybridMultilevel"/>
    <w:tmpl w:val="BFAE0EA8"/>
    <w:lvl w:ilvl="0" w:tplc="430A664A">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5F1C044A"/>
    <w:multiLevelType w:val="hybridMultilevel"/>
    <w:tmpl w:val="726E81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3020FF3"/>
    <w:multiLevelType w:val="hybridMultilevel"/>
    <w:tmpl w:val="8A36A5F2"/>
    <w:lvl w:ilvl="0" w:tplc="3C26DCC2">
      <w:start w:val="4"/>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53F7639"/>
    <w:multiLevelType w:val="hybridMultilevel"/>
    <w:tmpl w:val="6FF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802F5"/>
    <w:multiLevelType w:val="hybridMultilevel"/>
    <w:tmpl w:val="E21E3336"/>
    <w:lvl w:ilvl="0" w:tplc="C0CCEBB4">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DA1609"/>
    <w:multiLevelType w:val="hybridMultilevel"/>
    <w:tmpl w:val="B5424292"/>
    <w:lvl w:ilvl="0" w:tplc="782474F0">
      <w:start w:val="2"/>
      <w:numFmt w:val="bullet"/>
      <w:lvlText w:val="-"/>
      <w:lvlJc w:val="left"/>
      <w:pPr>
        <w:ind w:left="420" w:hanging="360"/>
      </w:pPr>
      <w:rPr>
        <w:rFonts w:ascii="Calibri" w:eastAsiaTheme="minorEastAsia" w:hAnsi="Calibri"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8" w15:restartNumberingAfterBreak="0">
    <w:nsid w:val="77DD2638"/>
    <w:multiLevelType w:val="hybridMultilevel"/>
    <w:tmpl w:val="6D6C5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C21B83"/>
    <w:multiLevelType w:val="hybridMultilevel"/>
    <w:tmpl w:val="391C66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53805083">
    <w:abstractNumId w:val="19"/>
  </w:num>
  <w:num w:numId="2" w16cid:durableId="860162993">
    <w:abstractNumId w:val="1"/>
  </w:num>
  <w:num w:numId="3" w16cid:durableId="224604108">
    <w:abstractNumId w:val="0"/>
  </w:num>
  <w:num w:numId="4" w16cid:durableId="831601200">
    <w:abstractNumId w:val="18"/>
  </w:num>
  <w:num w:numId="5" w16cid:durableId="1843817337">
    <w:abstractNumId w:val="2"/>
  </w:num>
  <w:num w:numId="6" w16cid:durableId="2035686906">
    <w:abstractNumId w:val="4"/>
  </w:num>
  <w:num w:numId="7" w16cid:durableId="1137450584">
    <w:abstractNumId w:val="5"/>
  </w:num>
  <w:num w:numId="8" w16cid:durableId="21380932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388527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424916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3099404">
    <w:abstractNumId w:val="9"/>
  </w:num>
  <w:num w:numId="12" w16cid:durableId="1734237061">
    <w:abstractNumId w:val="17"/>
  </w:num>
  <w:num w:numId="13" w16cid:durableId="1068070928">
    <w:abstractNumId w:val="11"/>
  </w:num>
  <w:num w:numId="14" w16cid:durableId="833304902">
    <w:abstractNumId w:val="15"/>
  </w:num>
  <w:num w:numId="15" w16cid:durableId="197200912">
    <w:abstractNumId w:val="10"/>
  </w:num>
  <w:num w:numId="16" w16cid:durableId="109738844">
    <w:abstractNumId w:val="13"/>
  </w:num>
  <w:num w:numId="17" w16cid:durableId="1738090588">
    <w:abstractNumId w:val="12"/>
  </w:num>
  <w:num w:numId="18" w16cid:durableId="234559368">
    <w:abstractNumId w:val="6"/>
  </w:num>
  <w:num w:numId="19" w16cid:durableId="1324041342">
    <w:abstractNumId w:val="8"/>
  </w:num>
  <w:num w:numId="20" w16cid:durableId="1361398721">
    <w:abstractNumId w:val="16"/>
  </w:num>
  <w:num w:numId="21" w16cid:durableId="1740322676">
    <w:abstractNumId w:val="14"/>
  </w:num>
  <w:num w:numId="22" w16cid:durableId="1955359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C9"/>
    <w:rsid w:val="00001089"/>
    <w:rsid w:val="000049DD"/>
    <w:rsid w:val="00044946"/>
    <w:rsid w:val="00047AF2"/>
    <w:rsid w:val="00055696"/>
    <w:rsid w:val="00060024"/>
    <w:rsid w:val="000761F8"/>
    <w:rsid w:val="00077F23"/>
    <w:rsid w:val="00077FB8"/>
    <w:rsid w:val="000A2924"/>
    <w:rsid w:val="000A7067"/>
    <w:rsid w:val="000B30A5"/>
    <w:rsid w:val="000B3FF7"/>
    <w:rsid w:val="000D4E10"/>
    <w:rsid w:val="000F6C5D"/>
    <w:rsid w:val="00101A68"/>
    <w:rsid w:val="00104DB1"/>
    <w:rsid w:val="001101E6"/>
    <w:rsid w:val="001147DE"/>
    <w:rsid w:val="00133F99"/>
    <w:rsid w:val="001341B9"/>
    <w:rsid w:val="00135776"/>
    <w:rsid w:val="00141303"/>
    <w:rsid w:val="001563F6"/>
    <w:rsid w:val="00161DC6"/>
    <w:rsid w:val="001667E4"/>
    <w:rsid w:val="00185241"/>
    <w:rsid w:val="001A0AF2"/>
    <w:rsid w:val="001A73C4"/>
    <w:rsid w:val="001B4C2C"/>
    <w:rsid w:val="001C3AF8"/>
    <w:rsid w:val="001C6A19"/>
    <w:rsid w:val="001D6868"/>
    <w:rsid w:val="001E4AE0"/>
    <w:rsid w:val="001E4FC6"/>
    <w:rsid w:val="001E5329"/>
    <w:rsid w:val="001F671F"/>
    <w:rsid w:val="002004C1"/>
    <w:rsid w:val="00202E70"/>
    <w:rsid w:val="00206F2B"/>
    <w:rsid w:val="00220E56"/>
    <w:rsid w:val="0023021C"/>
    <w:rsid w:val="00235101"/>
    <w:rsid w:val="00241AF4"/>
    <w:rsid w:val="002567BA"/>
    <w:rsid w:val="00263D20"/>
    <w:rsid w:val="0029195D"/>
    <w:rsid w:val="0029290C"/>
    <w:rsid w:val="002A59C3"/>
    <w:rsid w:val="002A61F0"/>
    <w:rsid w:val="002B0D33"/>
    <w:rsid w:val="002B1E70"/>
    <w:rsid w:val="002C156A"/>
    <w:rsid w:val="002C714F"/>
    <w:rsid w:val="002E0CFE"/>
    <w:rsid w:val="00326CA4"/>
    <w:rsid w:val="00334BF8"/>
    <w:rsid w:val="00337C39"/>
    <w:rsid w:val="00351FE5"/>
    <w:rsid w:val="00352536"/>
    <w:rsid w:val="0035267F"/>
    <w:rsid w:val="00370C2B"/>
    <w:rsid w:val="0037341F"/>
    <w:rsid w:val="003759DE"/>
    <w:rsid w:val="00381470"/>
    <w:rsid w:val="003A587B"/>
    <w:rsid w:val="003C598D"/>
    <w:rsid w:val="003D5EE0"/>
    <w:rsid w:val="003E0FC4"/>
    <w:rsid w:val="003E7ECF"/>
    <w:rsid w:val="00404338"/>
    <w:rsid w:val="0042062C"/>
    <w:rsid w:val="00437F71"/>
    <w:rsid w:val="0044241F"/>
    <w:rsid w:val="0044666D"/>
    <w:rsid w:val="004478B9"/>
    <w:rsid w:val="00452952"/>
    <w:rsid w:val="004532CC"/>
    <w:rsid w:val="00454435"/>
    <w:rsid w:val="00454FFB"/>
    <w:rsid w:val="0045706A"/>
    <w:rsid w:val="004619AD"/>
    <w:rsid w:val="00463B7C"/>
    <w:rsid w:val="00466B76"/>
    <w:rsid w:val="00475D0E"/>
    <w:rsid w:val="00477583"/>
    <w:rsid w:val="004834C1"/>
    <w:rsid w:val="004853DE"/>
    <w:rsid w:val="004964B4"/>
    <w:rsid w:val="00497F31"/>
    <w:rsid w:val="004A16E1"/>
    <w:rsid w:val="004A198E"/>
    <w:rsid w:val="004A7A12"/>
    <w:rsid w:val="004B34E1"/>
    <w:rsid w:val="004D66E3"/>
    <w:rsid w:val="004F3646"/>
    <w:rsid w:val="00500472"/>
    <w:rsid w:val="005027FE"/>
    <w:rsid w:val="005047AA"/>
    <w:rsid w:val="005331B9"/>
    <w:rsid w:val="00534B8F"/>
    <w:rsid w:val="0054420A"/>
    <w:rsid w:val="005461B0"/>
    <w:rsid w:val="00546FC5"/>
    <w:rsid w:val="00555B0B"/>
    <w:rsid w:val="00555E5A"/>
    <w:rsid w:val="00577CAE"/>
    <w:rsid w:val="00583727"/>
    <w:rsid w:val="00594E54"/>
    <w:rsid w:val="005C131A"/>
    <w:rsid w:val="005C3938"/>
    <w:rsid w:val="005D1E54"/>
    <w:rsid w:val="005F3E29"/>
    <w:rsid w:val="006024C6"/>
    <w:rsid w:val="006037E5"/>
    <w:rsid w:val="00620D33"/>
    <w:rsid w:val="00634741"/>
    <w:rsid w:val="00647133"/>
    <w:rsid w:val="00647F64"/>
    <w:rsid w:val="006970D0"/>
    <w:rsid w:val="006A66B7"/>
    <w:rsid w:val="006A7A70"/>
    <w:rsid w:val="006B2DA0"/>
    <w:rsid w:val="006E424B"/>
    <w:rsid w:val="00700564"/>
    <w:rsid w:val="0071171D"/>
    <w:rsid w:val="007152D9"/>
    <w:rsid w:val="007212CD"/>
    <w:rsid w:val="00733AC6"/>
    <w:rsid w:val="0074083B"/>
    <w:rsid w:val="0075764B"/>
    <w:rsid w:val="00771180"/>
    <w:rsid w:val="007719A0"/>
    <w:rsid w:val="007858A1"/>
    <w:rsid w:val="00792986"/>
    <w:rsid w:val="00795AFD"/>
    <w:rsid w:val="00797F33"/>
    <w:rsid w:val="007B1B3C"/>
    <w:rsid w:val="007C2E8B"/>
    <w:rsid w:val="007F1DCA"/>
    <w:rsid w:val="008178BF"/>
    <w:rsid w:val="0083239C"/>
    <w:rsid w:val="008454DE"/>
    <w:rsid w:val="00851867"/>
    <w:rsid w:val="00852A59"/>
    <w:rsid w:val="0087685C"/>
    <w:rsid w:val="00876A4F"/>
    <w:rsid w:val="008920A4"/>
    <w:rsid w:val="008B633D"/>
    <w:rsid w:val="008C12FB"/>
    <w:rsid w:val="008C473F"/>
    <w:rsid w:val="008C70CB"/>
    <w:rsid w:val="008D4DDF"/>
    <w:rsid w:val="008E54D9"/>
    <w:rsid w:val="008F432E"/>
    <w:rsid w:val="008F596F"/>
    <w:rsid w:val="0090161D"/>
    <w:rsid w:val="00907E85"/>
    <w:rsid w:val="00926276"/>
    <w:rsid w:val="00945F12"/>
    <w:rsid w:val="009722FA"/>
    <w:rsid w:val="0097522E"/>
    <w:rsid w:val="009824DA"/>
    <w:rsid w:val="009A0051"/>
    <w:rsid w:val="009C616E"/>
    <w:rsid w:val="009D033A"/>
    <w:rsid w:val="009D27B0"/>
    <w:rsid w:val="009D2E4C"/>
    <w:rsid w:val="009F1669"/>
    <w:rsid w:val="00A048F4"/>
    <w:rsid w:val="00A06C0F"/>
    <w:rsid w:val="00A131D2"/>
    <w:rsid w:val="00A13EC1"/>
    <w:rsid w:val="00A32B21"/>
    <w:rsid w:val="00A4466D"/>
    <w:rsid w:val="00A519F4"/>
    <w:rsid w:val="00A5441F"/>
    <w:rsid w:val="00A631F9"/>
    <w:rsid w:val="00A6323C"/>
    <w:rsid w:val="00AA2E72"/>
    <w:rsid w:val="00AC1903"/>
    <w:rsid w:val="00AC72E0"/>
    <w:rsid w:val="00AD2475"/>
    <w:rsid w:val="00AD47E4"/>
    <w:rsid w:val="00AF2E68"/>
    <w:rsid w:val="00AF7718"/>
    <w:rsid w:val="00B03308"/>
    <w:rsid w:val="00B06056"/>
    <w:rsid w:val="00B10D46"/>
    <w:rsid w:val="00B31A76"/>
    <w:rsid w:val="00B437DC"/>
    <w:rsid w:val="00B44C5F"/>
    <w:rsid w:val="00B54218"/>
    <w:rsid w:val="00B620DD"/>
    <w:rsid w:val="00B70570"/>
    <w:rsid w:val="00B84AF1"/>
    <w:rsid w:val="00B85D7E"/>
    <w:rsid w:val="00B937E0"/>
    <w:rsid w:val="00B94E7B"/>
    <w:rsid w:val="00BA2751"/>
    <w:rsid w:val="00BA6285"/>
    <w:rsid w:val="00BA7E36"/>
    <w:rsid w:val="00BB3C82"/>
    <w:rsid w:val="00BD0E15"/>
    <w:rsid w:val="00BD4DF3"/>
    <w:rsid w:val="00BD52EE"/>
    <w:rsid w:val="00BD5D00"/>
    <w:rsid w:val="00BD7346"/>
    <w:rsid w:val="00C32164"/>
    <w:rsid w:val="00C45656"/>
    <w:rsid w:val="00C573A7"/>
    <w:rsid w:val="00C66D5A"/>
    <w:rsid w:val="00C71C59"/>
    <w:rsid w:val="00C804FE"/>
    <w:rsid w:val="00C8792F"/>
    <w:rsid w:val="00CC77E4"/>
    <w:rsid w:val="00CD078F"/>
    <w:rsid w:val="00CD4BDC"/>
    <w:rsid w:val="00CD5D3A"/>
    <w:rsid w:val="00CD6C40"/>
    <w:rsid w:val="00CE4491"/>
    <w:rsid w:val="00CE53D3"/>
    <w:rsid w:val="00CF7B77"/>
    <w:rsid w:val="00D077C7"/>
    <w:rsid w:val="00D74D6E"/>
    <w:rsid w:val="00D862C9"/>
    <w:rsid w:val="00DC6CEA"/>
    <w:rsid w:val="00DD1D51"/>
    <w:rsid w:val="00DD1FD7"/>
    <w:rsid w:val="00DD2E99"/>
    <w:rsid w:val="00DE4531"/>
    <w:rsid w:val="00DE6DC2"/>
    <w:rsid w:val="00E07EF4"/>
    <w:rsid w:val="00E47E5A"/>
    <w:rsid w:val="00E51C16"/>
    <w:rsid w:val="00E725D6"/>
    <w:rsid w:val="00E90D5C"/>
    <w:rsid w:val="00E934D6"/>
    <w:rsid w:val="00E93B2D"/>
    <w:rsid w:val="00EC3EAC"/>
    <w:rsid w:val="00EE45F7"/>
    <w:rsid w:val="00EE7FED"/>
    <w:rsid w:val="00F14059"/>
    <w:rsid w:val="00F2489C"/>
    <w:rsid w:val="00F41480"/>
    <w:rsid w:val="00F61111"/>
    <w:rsid w:val="00F73E77"/>
    <w:rsid w:val="00F865E0"/>
    <w:rsid w:val="00F86CB2"/>
    <w:rsid w:val="00FA4BD0"/>
    <w:rsid w:val="00FD0621"/>
    <w:rsid w:val="00FD2FB9"/>
    <w:rsid w:val="00FE14A5"/>
    <w:rsid w:val="00FF2EE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196D75"/>
  <w15:docId w15:val="{8163205B-901D-47C4-8B2E-4E4FF327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Font [Normal/Default]"/>
    <w:qFormat/>
    <w:rsid w:val="004A16E1"/>
    <w:pPr>
      <w:spacing w:after="0" w:line="360" w:lineRule="auto"/>
    </w:pPr>
    <w:rPr>
      <w:rFonts w:eastAsiaTheme="minorEastAsia"/>
      <w:color w:val="292929"/>
      <w:sz w:val="24"/>
      <w:szCs w:val="24"/>
      <w:lang w:val="en-GB"/>
    </w:rPr>
  </w:style>
  <w:style w:type="paragraph" w:styleId="Heading3">
    <w:name w:val="heading 3"/>
    <w:basedOn w:val="Normal"/>
    <w:link w:val="Heading3Char"/>
    <w:qFormat/>
    <w:rsid w:val="00A131D2"/>
    <w:pPr>
      <w:spacing w:before="100" w:beforeAutospacing="1" w:after="100" w:afterAutospacing="1"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C9"/>
    <w:rPr>
      <w:rFonts w:ascii="Tahoma" w:hAnsi="Tahoma" w:cs="Tahoma"/>
      <w:sz w:val="16"/>
      <w:szCs w:val="16"/>
    </w:rPr>
  </w:style>
  <w:style w:type="paragraph" w:styleId="NoSpacing">
    <w:name w:val="No Spacing"/>
    <w:uiPriority w:val="1"/>
    <w:qFormat/>
    <w:rsid w:val="00B5421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27B0"/>
    <w:pPr>
      <w:tabs>
        <w:tab w:val="center" w:pos="4513"/>
        <w:tab w:val="right" w:pos="9026"/>
      </w:tabs>
      <w:spacing w:line="240" w:lineRule="auto"/>
    </w:pPr>
  </w:style>
  <w:style w:type="character" w:customStyle="1" w:styleId="HeaderChar">
    <w:name w:val="Header Char"/>
    <w:basedOn w:val="DefaultParagraphFont"/>
    <w:link w:val="Header"/>
    <w:uiPriority w:val="99"/>
    <w:rsid w:val="009D27B0"/>
    <w:rPr>
      <w:rFonts w:eastAsiaTheme="minorEastAsia"/>
      <w:sz w:val="24"/>
      <w:szCs w:val="24"/>
      <w:lang w:val="en-US"/>
    </w:rPr>
  </w:style>
  <w:style w:type="paragraph" w:styleId="Footer">
    <w:name w:val="footer"/>
    <w:basedOn w:val="Normal"/>
    <w:link w:val="FooterChar"/>
    <w:uiPriority w:val="99"/>
    <w:unhideWhenUsed/>
    <w:rsid w:val="009D27B0"/>
    <w:pPr>
      <w:tabs>
        <w:tab w:val="center" w:pos="4513"/>
        <w:tab w:val="right" w:pos="9026"/>
      </w:tabs>
      <w:spacing w:line="240" w:lineRule="auto"/>
    </w:pPr>
  </w:style>
  <w:style w:type="character" w:customStyle="1" w:styleId="FooterChar">
    <w:name w:val="Footer Char"/>
    <w:basedOn w:val="DefaultParagraphFont"/>
    <w:link w:val="Footer"/>
    <w:uiPriority w:val="99"/>
    <w:rsid w:val="009D27B0"/>
    <w:rPr>
      <w:rFonts w:eastAsiaTheme="minorEastAsia"/>
      <w:sz w:val="24"/>
      <w:szCs w:val="24"/>
      <w:lang w:val="en-US"/>
    </w:rPr>
  </w:style>
  <w:style w:type="paragraph" w:styleId="ListParagraph">
    <w:name w:val="List Paragraph"/>
    <w:basedOn w:val="Normal"/>
    <w:uiPriority w:val="34"/>
    <w:qFormat/>
    <w:rsid w:val="00771180"/>
    <w:pPr>
      <w:ind w:left="720"/>
      <w:contextualSpacing/>
    </w:pPr>
  </w:style>
  <w:style w:type="character" w:styleId="Hyperlink">
    <w:name w:val="Hyperlink"/>
    <w:uiPriority w:val="99"/>
    <w:rsid w:val="00771180"/>
    <w:rPr>
      <w:color w:val="0000FF"/>
      <w:u w:val="single"/>
    </w:rPr>
  </w:style>
  <w:style w:type="paragraph" w:customStyle="1" w:styleId="Default">
    <w:name w:val="Default"/>
    <w:rsid w:val="005F3E29"/>
    <w:pPr>
      <w:autoSpaceDE w:val="0"/>
      <w:autoSpaceDN w:val="0"/>
      <w:adjustRightInd w:val="0"/>
      <w:spacing w:after="0" w:line="240" w:lineRule="auto"/>
    </w:pPr>
    <w:rPr>
      <w:rFonts w:ascii="Calibri" w:eastAsiaTheme="minorEastAsia" w:hAnsi="Calibri" w:cs="Calibri"/>
      <w:color w:val="000000"/>
      <w:sz w:val="24"/>
      <w:szCs w:val="24"/>
    </w:rPr>
  </w:style>
  <w:style w:type="paragraph" w:styleId="BlockText">
    <w:name w:val="Block Text"/>
    <w:basedOn w:val="Normal"/>
    <w:uiPriority w:val="99"/>
    <w:rsid w:val="001B4C2C"/>
    <w:pPr>
      <w:spacing w:before="100" w:beforeAutospacing="1" w:after="240" w:line="240" w:lineRule="auto"/>
      <w:ind w:left="720" w:right="720"/>
      <w:jc w:val="both"/>
    </w:pPr>
    <w:rPr>
      <w:rFonts w:ascii="Arial" w:eastAsia="Times New Roman" w:hAnsi="Arial" w:cs="Arial"/>
      <w:sz w:val="22"/>
    </w:rPr>
  </w:style>
  <w:style w:type="character" w:customStyle="1" w:styleId="Heading3Char">
    <w:name w:val="Heading 3 Char"/>
    <w:basedOn w:val="DefaultParagraphFont"/>
    <w:link w:val="Heading3"/>
    <w:rsid w:val="00A131D2"/>
    <w:rPr>
      <w:rFonts w:ascii="Arial" w:eastAsia="Times New Roman" w:hAnsi="Arial" w:cs="Times New Roman"/>
      <w:b/>
      <w:bCs/>
      <w:sz w:val="26"/>
      <w:szCs w:val="26"/>
      <w:lang w:val="en-US"/>
    </w:rPr>
  </w:style>
  <w:style w:type="paragraph" w:styleId="Title">
    <w:name w:val="Title"/>
    <w:aliases w:val="Job Spacing"/>
    <w:basedOn w:val="Normal"/>
    <w:link w:val="TitleChar"/>
    <w:qFormat/>
    <w:rsid w:val="00D077C7"/>
    <w:pPr>
      <w:spacing w:line="240" w:lineRule="auto"/>
      <w:jc w:val="center"/>
    </w:pPr>
    <w:rPr>
      <w:rFonts w:ascii="Verdana" w:eastAsia="Times New Roman" w:hAnsi="Verdana" w:cs="Times New Roman"/>
      <w:b/>
      <w:bCs/>
      <w:color w:val="auto"/>
      <w:sz w:val="32"/>
    </w:rPr>
  </w:style>
  <w:style w:type="character" w:customStyle="1" w:styleId="TitleChar">
    <w:name w:val="Title Char"/>
    <w:aliases w:val="Job Spacing Char"/>
    <w:basedOn w:val="DefaultParagraphFont"/>
    <w:link w:val="Title"/>
    <w:rsid w:val="00D077C7"/>
    <w:rPr>
      <w:rFonts w:ascii="Verdana" w:eastAsia="Times New Roman" w:hAnsi="Verdana" w:cs="Times New Roman"/>
      <w:b/>
      <w:bCs/>
      <w:sz w:val="32"/>
      <w:szCs w:val="24"/>
      <w:lang w:val="en-US"/>
    </w:rPr>
  </w:style>
  <w:style w:type="paragraph" w:styleId="PlainText">
    <w:name w:val="Plain Text"/>
    <w:basedOn w:val="Normal"/>
    <w:link w:val="PlainTextChar"/>
    <w:uiPriority w:val="99"/>
    <w:unhideWhenUsed/>
    <w:rsid w:val="00D077C7"/>
    <w:pPr>
      <w:spacing w:line="240" w:lineRule="auto"/>
    </w:pPr>
    <w:rPr>
      <w:rFonts w:ascii="Consolas" w:eastAsia="Calibri"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D077C7"/>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semiHidden/>
    <w:unhideWhenUsed/>
    <w:rsid w:val="001A0AF2"/>
    <w:pPr>
      <w:spacing w:line="240" w:lineRule="auto"/>
    </w:pPr>
    <w:rPr>
      <w:sz w:val="20"/>
      <w:szCs w:val="20"/>
    </w:rPr>
  </w:style>
  <w:style w:type="character" w:customStyle="1" w:styleId="FootnoteTextChar">
    <w:name w:val="Footnote Text Char"/>
    <w:basedOn w:val="DefaultParagraphFont"/>
    <w:link w:val="FootnoteText"/>
    <w:uiPriority w:val="99"/>
    <w:semiHidden/>
    <w:rsid w:val="001A0AF2"/>
    <w:rPr>
      <w:rFonts w:eastAsiaTheme="minorEastAsia"/>
      <w:color w:val="292929"/>
      <w:sz w:val="20"/>
      <w:szCs w:val="20"/>
      <w:lang w:val="en-US"/>
    </w:rPr>
  </w:style>
  <w:style w:type="character" w:styleId="FootnoteReference">
    <w:name w:val="footnote reference"/>
    <w:basedOn w:val="DefaultParagraphFont"/>
    <w:uiPriority w:val="99"/>
    <w:semiHidden/>
    <w:unhideWhenUsed/>
    <w:rsid w:val="001A0AF2"/>
    <w:rPr>
      <w:vertAlign w:val="superscript"/>
    </w:rPr>
  </w:style>
  <w:style w:type="character" w:styleId="FollowedHyperlink">
    <w:name w:val="FollowedHyperlink"/>
    <w:basedOn w:val="DefaultParagraphFont"/>
    <w:uiPriority w:val="99"/>
    <w:semiHidden/>
    <w:unhideWhenUsed/>
    <w:rsid w:val="00076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xb/erac427" TargetMode="External"/><Relationship Id="rId13" Type="http://schemas.openxmlformats.org/officeDocument/2006/relationships/hyperlink" Target="https://www.tcd.ie/hr/" TargetMode="External"/><Relationship Id="rId18" Type="http://schemas.openxmlformats.org/officeDocument/2006/relationships/hyperlink" Target="https://dbei.gov.ie/en/What-We-Do/Workplace-and-Skills/Employment-Permits/Employment-Permit-Eligibility/Highly-Skilled-Eligible-Occupations-List/"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tcd.i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tcd.ie/diversity-inclusion/diversit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nair@tcd.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cd.ie/research/about/rankings" TargetMode="External"/><Relationship Id="rId23" Type="http://schemas.openxmlformats.org/officeDocument/2006/relationships/header" Target="header2.xml"/><Relationship Id="rId10" Type="http://schemas.openxmlformats.org/officeDocument/2006/relationships/hyperlink" Target="https://www.tcd.ie/study/apply/admission-requirements/postgraduate/" TargetMode="External"/><Relationship Id="rId19" Type="http://schemas.openxmlformats.org/officeDocument/2006/relationships/hyperlink" Target="https://dbei.gov.ie/en/What-We-Do/Workplace-and-Skills/Employment-Permits/Employment-Permit-Eligibility/Ineligible-Categories-of-Employment/" TargetMode="External"/><Relationship Id="rId4" Type="http://schemas.openxmlformats.org/officeDocument/2006/relationships/settings" Target="settings.xml"/><Relationship Id="rId9" Type="http://schemas.openxmlformats.org/officeDocument/2006/relationships/hyperlink" Target="https://www.tcd.ie/academicregistry/fees-and-payments/applicants/what-are-my-fees/" TargetMode="External"/><Relationship Id="rId14" Type="http://schemas.openxmlformats.org/officeDocument/2006/relationships/hyperlink" Target="https://www.tcd.ie/research/them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86A6-CD36-476F-AC86-694F1529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Richard Nair</cp:lastModifiedBy>
  <cp:revision>20</cp:revision>
  <cp:lastPrinted>2018-03-20T13:50:00Z</cp:lastPrinted>
  <dcterms:created xsi:type="dcterms:W3CDTF">2025-05-12T14:52:00Z</dcterms:created>
  <dcterms:modified xsi:type="dcterms:W3CDTF">2025-06-11T07:17:00Z</dcterms:modified>
</cp:coreProperties>
</file>