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34A7" w:rsidP="08B57D18" w:rsidRDefault="00D46CB5" w14:paraId="61286C20" w14:textId="33AD7D5C">
      <w:pPr>
        <w:pStyle w:val="Title"/>
        <w:rPr>
          <w:rFonts w:ascii="Calibri" w:hAnsi="Calibri" w:eastAsia="Calibri" w:cs="Calibri"/>
          <w:color w:val="548DD4" w:themeColor="text2" w:themeTint="99" w:themeShade="FF"/>
          <w:sz w:val="28"/>
          <w:szCs w:val="28"/>
        </w:rPr>
      </w:pPr>
      <w:r w:rsidRPr="08B57D18" w:rsidR="00005AE5">
        <w:rPr>
          <w:rFonts w:ascii="Calibri" w:hAnsi="Calibri" w:eastAsia="Calibri" w:cs="Calibri"/>
          <w:color w:val="548DD4" w:themeColor="text2" w:themeTint="99" w:themeShade="FF"/>
          <w:sz w:val="28"/>
          <w:szCs w:val="28"/>
        </w:rPr>
        <w:t>School of Medicine Student Welfare &amp; Support</w:t>
      </w:r>
      <w:r w:rsidRPr="08B57D18" w:rsidR="6F999409">
        <w:rPr>
          <w:rFonts w:ascii="Calibri" w:hAnsi="Calibri" w:eastAsia="Calibri" w:cs="Calibri"/>
          <w:color w:val="548DD4" w:themeColor="text2" w:themeTint="99" w:themeShade="FF"/>
          <w:sz w:val="28"/>
          <w:szCs w:val="28"/>
        </w:rPr>
        <w:t xml:space="preserve"> </w:t>
      </w:r>
      <w:r w:rsidRPr="08B57D18" w:rsidR="00005AE5">
        <w:rPr>
          <w:rFonts w:ascii="Calibri" w:hAnsi="Calibri" w:eastAsia="Calibri" w:cs="Calibri"/>
          <w:color w:val="548DD4" w:themeColor="text2" w:themeTint="99" w:themeShade="FF"/>
          <w:sz w:val="28"/>
          <w:szCs w:val="28"/>
        </w:rPr>
        <w:t>Office</w:t>
      </w:r>
      <w:r w:rsidRPr="08B57D18" w:rsidR="00D46CB5">
        <w:rPr>
          <w:rFonts w:ascii="Calibri" w:hAnsi="Calibri" w:eastAsia="Calibri" w:cs="Calibri"/>
          <w:color w:val="548DD4" w:themeColor="text2" w:themeTint="99" w:themeShade="FF"/>
          <w:sz w:val="28"/>
          <w:szCs w:val="28"/>
        </w:rPr>
        <w:t xml:space="preserve"> Confidentiality Policy </w:t>
      </w:r>
    </w:p>
    <w:p w:rsidR="00B634A7" w:rsidP="08B57D18" w:rsidRDefault="00D46CB5" w14:paraId="3C9970FC" w14:textId="55CEBBFB">
      <w:pPr>
        <w:pStyle w:val="Heading2"/>
      </w:pPr>
      <w:r w:rsidR="00D46CB5">
        <w:rPr/>
        <w:t>General Principles</w:t>
      </w:r>
    </w:p>
    <w:p w:rsidR="00B634A7" w:rsidP="08B57D18" w:rsidRDefault="00B634A7" w14:paraId="6BEA2127" w14:textId="3AC1062E">
      <w:pPr>
        <w:pStyle w:val="BodyText"/>
        <w:spacing w:before="3" w:line="259" w:lineRule="auto"/>
        <w:ind w:right="172"/>
      </w:pPr>
      <w:r w:rsidR="00D46CB5">
        <w:rPr/>
        <w:t xml:space="preserve">The </w:t>
      </w:r>
      <w:r w:rsidR="00005AE5">
        <w:rPr/>
        <w:t>School of Medicine</w:t>
      </w:r>
      <w:r w:rsidR="00005AE5">
        <w:rPr/>
        <w:t xml:space="preserve"> (SOM)</w:t>
      </w:r>
      <w:r w:rsidR="00005AE5">
        <w:rPr/>
        <w:t xml:space="preserve"> Student Welfare &amp; Support Office</w:t>
      </w:r>
      <w:r w:rsidR="00D46CB5">
        <w:rPr/>
        <w:t xml:space="preserve"> is committed to respecting the right to confidentiality of all students accessing our support. We understand that without an assurance of confidentiality, many of those who seek help from the </w:t>
      </w:r>
      <w:r w:rsidR="12C2CC83">
        <w:rPr/>
        <w:t xml:space="preserve">Student Welfare &amp; Support Officer </w:t>
      </w:r>
      <w:r w:rsidR="00D46CB5">
        <w:rPr/>
        <w:t>would not do so. Confidential information in general will o</w:t>
      </w:r>
      <w:r w:rsidR="00D46CB5">
        <w:rPr/>
        <w:t xml:space="preserve">nly be </w:t>
      </w:r>
      <w:r w:rsidR="00D46CB5">
        <w:rPr/>
        <w:t>disclosed</w:t>
      </w:r>
      <w:r w:rsidR="00D46CB5">
        <w:rPr/>
        <w:t xml:space="preserve"> with the student’s consent.</w:t>
      </w:r>
    </w:p>
    <w:p w:rsidR="08B57D18" w:rsidP="08B57D18" w:rsidRDefault="08B57D18" w14:paraId="279075A4" w14:textId="05394291">
      <w:pPr>
        <w:pStyle w:val="BodyText"/>
        <w:spacing w:before="3" w:line="259" w:lineRule="auto"/>
        <w:ind w:right="172"/>
      </w:pPr>
    </w:p>
    <w:p w:rsidR="00B634A7" w:rsidRDefault="00B634A7" w14:paraId="1006BF0B" w14:textId="77777777">
      <w:pPr>
        <w:pStyle w:val="BodyText"/>
        <w:spacing w:before="10"/>
        <w:ind w:left="0"/>
        <w:rPr>
          <w:sz w:val="27"/>
        </w:rPr>
      </w:pPr>
    </w:p>
    <w:p w:rsidR="00B634A7" w:rsidP="08B57D18" w:rsidRDefault="00D46CB5" w14:paraId="6DDBD5CC" w14:textId="77777777" w14:noSpellErr="1">
      <w:pPr>
        <w:pStyle w:val="Heading2"/>
      </w:pPr>
      <w:r w:rsidR="00D46CB5">
        <w:rPr/>
        <w:t>Student records</w:t>
      </w:r>
    </w:p>
    <w:p w:rsidR="00B634A7" w:rsidP="08B57D18" w:rsidRDefault="00D46CB5" w14:paraId="65BFABEB" w14:textId="66770B11">
      <w:pPr>
        <w:pStyle w:val="BodyText"/>
        <w:spacing w:before="180" w:line="259" w:lineRule="auto"/>
        <w:ind w:right="666"/>
      </w:pPr>
      <w:r w:rsidR="00D46CB5">
        <w:rPr/>
        <w:t xml:space="preserve">The </w:t>
      </w:r>
      <w:r w:rsidR="00005AE5">
        <w:rPr/>
        <w:t>SOM Student Welfare &amp; Support Officer</w:t>
      </w:r>
      <w:r w:rsidR="00D46CB5">
        <w:rPr/>
        <w:t xml:space="preserve"> may keep brief records of meetings with students who seek</w:t>
      </w:r>
      <w:r w:rsidR="00005AE5">
        <w:rPr/>
        <w:t xml:space="preserve"> their</w:t>
      </w:r>
      <w:r w:rsidR="00D46CB5">
        <w:rPr/>
        <w:t xml:space="preserve"> support</w:t>
      </w:r>
      <w:r w:rsidR="00D46CB5">
        <w:rPr/>
        <w:t>. These</w:t>
      </w:r>
      <w:r w:rsidR="00D46CB5">
        <w:rPr/>
        <w:t xml:space="preserve"> records will include the following</w:t>
      </w:r>
      <w:r w:rsidR="65D6145A">
        <w:rPr/>
        <w:t xml:space="preserve"> </w:t>
      </w:r>
      <w:r w:rsidR="00D46CB5">
        <w:rPr/>
        <w:t>information as it appears on the student’s record on my.tcd.ie (SITs):</w:t>
      </w:r>
    </w:p>
    <w:p w:rsidR="00B634A7" w:rsidRDefault="00D46CB5" w14:paraId="05335681" w14:textId="77777777">
      <w:pPr>
        <w:pStyle w:val="ListParagraph"/>
        <w:numPr>
          <w:ilvl w:val="0"/>
          <w:numId w:val="4"/>
        </w:numPr>
        <w:tabs>
          <w:tab w:val="left" w:pos="520"/>
          <w:tab w:val="left" w:pos="521"/>
        </w:tabs>
        <w:spacing w:before="181"/>
        <w:ind w:hanging="361"/>
        <w:rPr>
          <w:rFonts w:ascii="Symbol" w:hAnsi="Symbol"/>
        </w:rPr>
      </w:pPr>
      <w:r w:rsidR="00D46CB5">
        <w:rPr/>
        <w:t>Student Name (as on student</w:t>
      </w:r>
      <w:r w:rsidR="00D46CB5">
        <w:rPr>
          <w:spacing w:val="-6"/>
        </w:rPr>
        <w:t xml:space="preserve"> </w:t>
      </w:r>
      <w:r w:rsidR="00D46CB5">
        <w:rPr/>
        <w:t>record)</w:t>
      </w:r>
    </w:p>
    <w:p w:rsidR="00B634A7" w:rsidRDefault="00D46CB5" w14:paraId="1D8A3735" w14:textId="77777777">
      <w:pPr>
        <w:pStyle w:val="ListParagraph"/>
        <w:numPr>
          <w:ilvl w:val="0"/>
          <w:numId w:val="4"/>
        </w:numPr>
        <w:tabs>
          <w:tab w:val="left" w:pos="520"/>
          <w:tab w:val="left" w:pos="521"/>
        </w:tabs>
        <w:spacing w:before="22"/>
        <w:ind w:hanging="361"/>
        <w:rPr>
          <w:rFonts w:ascii="Symbol" w:hAnsi="Symbol"/>
        </w:rPr>
      </w:pPr>
      <w:r w:rsidR="00D46CB5">
        <w:rPr/>
        <w:t>Student Number</w:t>
      </w:r>
    </w:p>
    <w:p w:rsidR="00B634A7" w:rsidRDefault="00D46CB5" w14:paraId="5A74A366" w14:textId="77777777">
      <w:pPr>
        <w:pStyle w:val="ListParagraph"/>
        <w:numPr>
          <w:ilvl w:val="0"/>
          <w:numId w:val="4"/>
        </w:numPr>
        <w:tabs>
          <w:tab w:val="left" w:pos="520"/>
          <w:tab w:val="left" w:pos="521"/>
        </w:tabs>
        <w:spacing w:before="22"/>
        <w:ind w:hanging="361"/>
        <w:rPr>
          <w:rFonts w:ascii="Symbol" w:hAnsi="Symbol"/>
        </w:rPr>
      </w:pPr>
      <w:r w:rsidR="00D46CB5">
        <w:rPr/>
        <w:t>Student email</w:t>
      </w:r>
      <w:r w:rsidR="00D46CB5">
        <w:rPr>
          <w:spacing w:val="-2"/>
        </w:rPr>
        <w:t xml:space="preserve"> </w:t>
      </w:r>
      <w:r w:rsidR="00D46CB5">
        <w:rPr/>
        <w:t>address</w:t>
      </w:r>
    </w:p>
    <w:p w:rsidR="00B634A7" w:rsidRDefault="00D46CB5" w14:paraId="64524A57" w14:textId="77777777">
      <w:pPr>
        <w:pStyle w:val="ListParagraph"/>
        <w:numPr>
          <w:ilvl w:val="0"/>
          <w:numId w:val="4"/>
        </w:numPr>
        <w:tabs>
          <w:tab w:val="left" w:pos="520"/>
          <w:tab w:val="left" w:pos="521"/>
        </w:tabs>
        <w:spacing w:before="22"/>
        <w:ind w:hanging="361"/>
        <w:rPr>
          <w:rFonts w:ascii="Symbol" w:hAnsi="Symbol"/>
        </w:rPr>
      </w:pPr>
      <w:r w:rsidR="00D46CB5">
        <w:rPr/>
        <w:t>Course of</w:t>
      </w:r>
      <w:r w:rsidR="00D46CB5">
        <w:rPr>
          <w:spacing w:val="-3"/>
        </w:rPr>
        <w:t xml:space="preserve"> </w:t>
      </w:r>
      <w:r w:rsidR="00D46CB5">
        <w:rPr/>
        <w:t>Study</w:t>
      </w:r>
    </w:p>
    <w:p w:rsidR="7D8D7A48" w:rsidP="3DB9EF5E" w:rsidRDefault="7D8D7A48" w14:paraId="09195E92" w14:textId="3068285A">
      <w:pPr>
        <w:pStyle w:val="ListParagraph"/>
        <w:numPr>
          <w:ilvl w:val="0"/>
          <w:numId w:val="4"/>
        </w:numPr>
        <w:tabs>
          <w:tab w:val="left" w:leader="none" w:pos="520"/>
          <w:tab w:val="left" w:leader="none" w:pos="521"/>
        </w:tabs>
        <w:bidi w:val="0"/>
        <w:spacing w:before="20" w:beforeAutospacing="off" w:after="0" w:afterAutospacing="off" w:line="259" w:lineRule="auto"/>
        <w:ind w:left="520" w:right="0" w:hanging="361"/>
        <w:jc w:val="left"/>
        <w:rPr>
          <w:rFonts w:ascii="Calibri" w:hAnsi="Calibri" w:eastAsia="Calibri" w:cs="Calibri"/>
        </w:rPr>
      </w:pPr>
      <w:r w:rsidR="7D8D7A48">
        <w:rPr/>
        <w:t>Tutor</w:t>
      </w:r>
    </w:p>
    <w:p w:rsidR="00B634A7" w:rsidRDefault="00D46CB5" w14:paraId="07782C73" w14:textId="77777777">
      <w:pPr>
        <w:pStyle w:val="ListParagraph"/>
        <w:numPr>
          <w:ilvl w:val="0"/>
          <w:numId w:val="4"/>
        </w:numPr>
        <w:tabs>
          <w:tab w:val="left" w:pos="520"/>
          <w:tab w:val="left" w:pos="521"/>
        </w:tabs>
        <w:spacing w:before="22"/>
        <w:ind w:hanging="361"/>
        <w:rPr>
          <w:rFonts w:ascii="Symbol" w:hAnsi="Symbol"/>
        </w:rPr>
      </w:pPr>
      <w:r>
        <w:t>Fee</w:t>
      </w:r>
      <w:r>
        <w:rPr>
          <w:spacing w:val="-1"/>
        </w:rPr>
        <w:t xml:space="preserve"> </w:t>
      </w:r>
      <w:r>
        <w:t>status</w:t>
      </w:r>
    </w:p>
    <w:p w:rsidR="00B634A7" w:rsidRDefault="00D46CB5" w14:paraId="284DF78B" w14:textId="152063B8">
      <w:pPr>
        <w:pStyle w:val="BodyText"/>
        <w:spacing w:before="180" w:line="259" w:lineRule="auto"/>
        <w:ind w:right="334"/>
      </w:pPr>
      <w:r w:rsidR="00005AE5">
        <w:rPr/>
        <w:t xml:space="preserve">Student Welfare &amp; Support </w:t>
      </w:r>
      <w:r w:rsidR="00005AE5">
        <w:rPr/>
        <w:t xml:space="preserve">Officer </w:t>
      </w:r>
      <w:r w:rsidR="00D46CB5">
        <w:rPr/>
        <w:t xml:space="preserve">records may also </w:t>
      </w:r>
      <w:r w:rsidR="00D46CB5">
        <w:rPr/>
        <w:t>include:</w:t>
      </w:r>
      <w:r w:rsidR="00D46CB5">
        <w:rPr/>
        <w:t xml:space="preserve"> preferred name, </w:t>
      </w:r>
      <w:r w:rsidR="00D46CB5">
        <w:rPr/>
        <w:t>gender</w:t>
      </w:r>
      <w:r w:rsidR="00D46CB5">
        <w:rPr/>
        <w:t xml:space="preserve"> and pronouns of student (if different from student record); brief </w:t>
      </w:r>
      <w:r w:rsidRPr="08B57D18" w:rsidR="00D46CB5">
        <w:rPr>
          <w:i w:val="1"/>
          <w:iCs w:val="1"/>
        </w:rPr>
        <w:t xml:space="preserve">aide memoire </w:t>
      </w:r>
      <w:r w:rsidR="00D46CB5">
        <w:rPr/>
        <w:t>notes, including notes of any referrals made or appeals taken; emails sent to the student from</w:t>
      </w:r>
      <w:r w:rsidR="00D46CB5">
        <w:rPr/>
        <w:t xml:space="preserve"> </w:t>
      </w:r>
      <w:r w:rsidR="00005AE5">
        <w:rPr/>
        <w:t xml:space="preserve">Student Welfare &amp; Support Office </w:t>
      </w:r>
      <w:r w:rsidR="00D46CB5">
        <w:rPr/>
        <w:t xml:space="preserve">and </w:t>
      </w:r>
      <w:r w:rsidRPr="08B57D18" w:rsidR="00D46CB5">
        <w:rPr>
          <w:i w:val="1"/>
          <w:iCs w:val="1"/>
        </w:rPr>
        <w:t>vice versa</w:t>
      </w:r>
      <w:r w:rsidR="00D46CB5">
        <w:rPr/>
        <w:t>.</w:t>
      </w:r>
    </w:p>
    <w:p w:rsidR="00B634A7" w:rsidRDefault="00D46CB5" w14:paraId="521E5913" w14:textId="6E0B2B11">
      <w:pPr>
        <w:pStyle w:val="BodyText"/>
        <w:spacing w:before="159"/>
      </w:pPr>
      <w:r w:rsidR="00D46CB5">
        <w:rPr/>
        <w:t xml:space="preserve">These records are held securely in the </w:t>
      </w:r>
      <w:r w:rsidR="00005AE5">
        <w:rPr/>
        <w:t>School of Medicine</w:t>
      </w:r>
      <w:r w:rsidR="00D46CB5">
        <w:rPr/>
        <w:t>.</w:t>
      </w:r>
    </w:p>
    <w:p w:rsidR="00B634A7" w:rsidRDefault="00D46CB5" w14:paraId="714C15FA" w14:textId="4D4782F0">
      <w:pPr>
        <w:pStyle w:val="BodyText"/>
        <w:spacing w:before="183" w:line="259" w:lineRule="auto"/>
        <w:ind w:right="659"/>
      </w:pPr>
      <w:r w:rsidR="00005AE5">
        <w:rPr/>
        <w:t>SOM Stude</w:t>
      </w:r>
      <w:r w:rsidR="00005AE5">
        <w:rPr/>
        <w:t>nt Welfare &amp; Support Office</w:t>
      </w:r>
      <w:r w:rsidR="00005AE5">
        <w:rPr/>
        <w:t xml:space="preserve"> </w:t>
      </w:r>
      <w:r w:rsidR="00D46CB5">
        <w:rPr/>
        <w:t xml:space="preserve">files are not attached to any academic record within the College and are held securely and confidentially within the </w:t>
      </w:r>
      <w:r w:rsidR="00005AE5">
        <w:rPr/>
        <w:t>School of Medicine</w:t>
      </w:r>
      <w:r w:rsidR="00D46CB5">
        <w:rPr/>
        <w:t xml:space="preserve"> for a maximum of 7 years.</w:t>
      </w:r>
    </w:p>
    <w:p w:rsidR="00B634A7" w:rsidRDefault="00D46CB5" w14:paraId="0EF3FD20" w14:textId="5B0CF365">
      <w:pPr>
        <w:pStyle w:val="BodyText"/>
        <w:spacing w:before="160"/>
      </w:pPr>
      <w:r w:rsidR="00D46CB5">
        <w:rPr/>
        <w:t xml:space="preserve">In </w:t>
      </w:r>
      <w:r w:rsidR="00D46CB5">
        <w:rPr/>
        <w:t>maintaining</w:t>
      </w:r>
      <w:r w:rsidR="00D46CB5">
        <w:rPr/>
        <w:t xml:space="preserve"> or creating student files, </w:t>
      </w:r>
      <w:r w:rsidR="00005AE5">
        <w:rPr/>
        <w:t xml:space="preserve">the SOM Student Welfare &amp; Support Office </w:t>
      </w:r>
      <w:r w:rsidR="00D46CB5">
        <w:rPr/>
        <w:t>commits to the principles of data protection, namely to:</w:t>
      </w:r>
    </w:p>
    <w:p w:rsidR="00B634A7" w:rsidRDefault="00D46CB5" w14:paraId="41427E48" w14:textId="77777777">
      <w:pPr>
        <w:pStyle w:val="ListParagraph"/>
        <w:numPr>
          <w:ilvl w:val="0"/>
          <w:numId w:val="4"/>
        </w:numPr>
        <w:tabs>
          <w:tab w:val="left" w:pos="460"/>
          <w:tab w:val="left" w:pos="461"/>
        </w:tabs>
        <w:spacing w:before="180"/>
        <w:ind w:left="460" w:hanging="361"/>
        <w:rPr>
          <w:rFonts w:ascii="Symbol" w:hAnsi="Symbol"/>
          <w:sz w:val="20"/>
        </w:rPr>
      </w:pPr>
      <w:hyperlink w:anchor="1" r:id="rId5">
        <w:r>
          <w:rPr>
            <w:rFonts w:ascii="Calibri Light" w:hAnsi="Calibri Light"/>
          </w:rPr>
          <w:t>Obtain and process information</w:t>
        </w:r>
        <w:r>
          <w:rPr>
            <w:rFonts w:ascii="Calibri Light" w:hAnsi="Calibri Light"/>
            <w:spacing w:val="3"/>
          </w:rPr>
          <w:t xml:space="preserve"> </w:t>
        </w:r>
        <w:r>
          <w:rPr>
            <w:rFonts w:ascii="Calibri Light" w:hAnsi="Calibri Light"/>
          </w:rPr>
          <w:t>fairly</w:t>
        </w:r>
      </w:hyperlink>
    </w:p>
    <w:p w:rsidR="00B634A7" w:rsidRDefault="00D46CB5" w14:paraId="2EF358D7" w14:textId="77777777">
      <w:pPr>
        <w:pStyle w:val="ListParagraph"/>
        <w:numPr>
          <w:ilvl w:val="0"/>
          <w:numId w:val="4"/>
        </w:numPr>
        <w:tabs>
          <w:tab w:val="left" w:pos="460"/>
          <w:tab w:val="left" w:pos="461"/>
        </w:tabs>
        <w:ind w:left="460" w:hanging="361"/>
        <w:rPr>
          <w:rFonts w:ascii="Symbol" w:hAnsi="Symbol"/>
          <w:sz w:val="20"/>
        </w:rPr>
      </w:pPr>
      <w:hyperlink w:anchor="2" r:id="rId6">
        <w:r>
          <w:rPr>
            <w:rFonts w:ascii="Calibri Light" w:hAnsi="Calibri Light"/>
          </w:rPr>
          <w:t xml:space="preserve">Keep it only for one or more specified, </w:t>
        </w:r>
        <w:proofErr w:type="gramStart"/>
        <w:r>
          <w:rPr>
            <w:rFonts w:ascii="Calibri Light" w:hAnsi="Calibri Light"/>
          </w:rPr>
          <w:t>explicit</w:t>
        </w:r>
        <w:proofErr w:type="gramEnd"/>
        <w:r>
          <w:rPr>
            <w:rFonts w:ascii="Calibri Light" w:hAnsi="Calibri Light"/>
          </w:rPr>
          <w:t xml:space="preserve"> and lawful</w:t>
        </w:r>
        <w:r>
          <w:rPr>
            <w:rFonts w:ascii="Calibri Light" w:hAnsi="Calibri Light"/>
            <w:spacing w:val="-5"/>
          </w:rPr>
          <w:t xml:space="preserve"> </w:t>
        </w:r>
        <w:r>
          <w:rPr>
            <w:rFonts w:ascii="Calibri Light" w:hAnsi="Calibri Light"/>
          </w:rPr>
          <w:t>purposes</w:t>
        </w:r>
      </w:hyperlink>
    </w:p>
    <w:p w:rsidR="00B634A7" w:rsidRDefault="00D46CB5" w14:paraId="48A3EAED" w14:textId="77777777">
      <w:pPr>
        <w:pStyle w:val="ListParagraph"/>
        <w:numPr>
          <w:ilvl w:val="0"/>
          <w:numId w:val="4"/>
        </w:numPr>
        <w:tabs>
          <w:tab w:val="left" w:pos="460"/>
          <w:tab w:val="left" w:pos="461"/>
        </w:tabs>
        <w:ind w:left="460" w:hanging="361"/>
        <w:rPr>
          <w:rFonts w:ascii="Symbol" w:hAnsi="Symbol"/>
          <w:sz w:val="20"/>
        </w:rPr>
      </w:pPr>
      <w:hyperlink w:anchor="3" r:id="rId7">
        <w:r>
          <w:rPr>
            <w:rFonts w:ascii="Calibri Light" w:hAnsi="Calibri Light"/>
          </w:rPr>
          <w:t>Use and disclose it only in ways comp</w:t>
        </w:r>
        <w:r>
          <w:rPr>
            <w:rFonts w:ascii="Calibri Light" w:hAnsi="Calibri Light"/>
          </w:rPr>
          <w:t>atible with these</w:t>
        </w:r>
        <w:r>
          <w:rPr>
            <w:rFonts w:ascii="Calibri Light" w:hAnsi="Calibri Light"/>
            <w:spacing w:val="-3"/>
          </w:rPr>
          <w:t xml:space="preserve"> </w:t>
        </w:r>
        <w:r>
          <w:rPr>
            <w:rFonts w:ascii="Calibri Light" w:hAnsi="Calibri Light"/>
          </w:rPr>
          <w:t>purposes</w:t>
        </w:r>
      </w:hyperlink>
    </w:p>
    <w:p w:rsidR="00B634A7" w:rsidRDefault="00D46CB5" w14:paraId="53785020" w14:textId="77777777">
      <w:pPr>
        <w:pStyle w:val="ListParagraph"/>
        <w:numPr>
          <w:ilvl w:val="0"/>
          <w:numId w:val="4"/>
        </w:numPr>
        <w:tabs>
          <w:tab w:val="left" w:pos="460"/>
          <w:tab w:val="left" w:pos="461"/>
        </w:tabs>
        <w:spacing w:before="1"/>
        <w:ind w:left="460" w:hanging="361"/>
        <w:rPr>
          <w:rFonts w:ascii="Symbol" w:hAnsi="Symbol"/>
          <w:sz w:val="20"/>
        </w:rPr>
      </w:pPr>
      <w:hyperlink w:anchor="4" r:id="rId8">
        <w:r>
          <w:rPr>
            <w:rFonts w:ascii="Calibri Light" w:hAnsi="Calibri Light"/>
          </w:rPr>
          <w:t>Keep it safe and</w:t>
        </w:r>
        <w:r>
          <w:rPr>
            <w:rFonts w:ascii="Calibri Light" w:hAnsi="Calibri Light"/>
            <w:spacing w:val="-2"/>
          </w:rPr>
          <w:t xml:space="preserve"> </w:t>
        </w:r>
        <w:r>
          <w:rPr>
            <w:rFonts w:ascii="Calibri Light" w:hAnsi="Calibri Light"/>
          </w:rPr>
          <w:t>secure</w:t>
        </w:r>
      </w:hyperlink>
    </w:p>
    <w:p w:rsidR="00B634A7" w:rsidRDefault="00D46CB5" w14:paraId="49A6C726" w14:textId="77777777">
      <w:pPr>
        <w:pStyle w:val="ListParagraph"/>
        <w:numPr>
          <w:ilvl w:val="0"/>
          <w:numId w:val="4"/>
        </w:numPr>
        <w:tabs>
          <w:tab w:val="left" w:pos="460"/>
          <w:tab w:val="left" w:pos="461"/>
        </w:tabs>
        <w:ind w:left="460" w:hanging="361"/>
        <w:rPr>
          <w:rFonts w:ascii="Symbol" w:hAnsi="Symbol"/>
          <w:sz w:val="20"/>
        </w:rPr>
      </w:pPr>
      <w:hyperlink w:anchor="5" r:id="rId9">
        <w:r>
          <w:rPr>
            <w:rFonts w:ascii="Calibri Light" w:hAnsi="Calibri Light"/>
          </w:rPr>
          <w:t>Keep it accurate, complete and</w:t>
        </w:r>
        <w:r>
          <w:rPr>
            <w:rFonts w:ascii="Calibri Light" w:hAnsi="Calibri Light"/>
            <w:spacing w:val="1"/>
          </w:rPr>
          <w:t xml:space="preserve"> </w:t>
        </w:r>
        <w:proofErr w:type="gramStart"/>
        <w:r>
          <w:rPr>
            <w:rFonts w:ascii="Calibri Light" w:hAnsi="Calibri Light"/>
          </w:rPr>
          <w:t>up-to-date</w:t>
        </w:r>
        <w:proofErr w:type="gramEnd"/>
      </w:hyperlink>
    </w:p>
    <w:p w:rsidR="00B634A7" w:rsidRDefault="00D46CB5" w14:paraId="1E32C962" w14:textId="77777777">
      <w:pPr>
        <w:pStyle w:val="ListParagraph"/>
        <w:numPr>
          <w:ilvl w:val="0"/>
          <w:numId w:val="4"/>
        </w:numPr>
        <w:tabs>
          <w:tab w:val="left" w:pos="460"/>
          <w:tab w:val="left" w:pos="461"/>
        </w:tabs>
        <w:ind w:left="460" w:hanging="361"/>
        <w:rPr>
          <w:rFonts w:ascii="Symbol" w:hAnsi="Symbol"/>
          <w:sz w:val="20"/>
        </w:rPr>
      </w:pPr>
      <w:hyperlink w:anchor="6" r:id="rId10">
        <w:r>
          <w:rPr>
            <w:rFonts w:ascii="Calibri Light" w:hAnsi="Calibri Light"/>
          </w:rPr>
          <w:t xml:space="preserve">Ensure that it is </w:t>
        </w:r>
        <w:r>
          <w:rPr>
            <w:rFonts w:ascii="Calibri Light" w:hAnsi="Calibri Light"/>
          </w:rPr>
          <w:t xml:space="preserve">adequate, </w:t>
        </w:r>
        <w:proofErr w:type="gramStart"/>
        <w:r>
          <w:rPr>
            <w:rFonts w:ascii="Calibri Light" w:hAnsi="Calibri Light"/>
          </w:rPr>
          <w:t>relevant</w:t>
        </w:r>
        <w:proofErr w:type="gramEnd"/>
        <w:r>
          <w:rPr>
            <w:rFonts w:ascii="Calibri Light" w:hAnsi="Calibri Light"/>
          </w:rPr>
          <w:t xml:space="preserve"> and not</w:t>
        </w:r>
        <w:r>
          <w:rPr>
            <w:rFonts w:ascii="Calibri Light" w:hAnsi="Calibri Light"/>
            <w:spacing w:val="-2"/>
          </w:rPr>
          <w:t xml:space="preserve"> </w:t>
        </w:r>
        <w:r>
          <w:rPr>
            <w:rFonts w:ascii="Calibri Light" w:hAnsi="Calibri Light"/>
          </w:rPr>
          <w:t>excessive</w:t>
        </w:r>
      </w:hyperlink>
    </w:p>
    <w:p w:rsidR="00B634A7" w:rsidP="08B57D18" w:rsidRDefault="00D46CB5" w14:textId="77777777" w14:noSpellErr="1" w14:paraId="6D6C9064">
      <w:pPr>
        <w:pStyle w:val="ListParagraph"/>
        <w:numPr>
          <w:ilvl w:val="0"/>
          <w:numId w:val="4"/>
        </w:numPr>
        <w:tabs>
          <w:tab w:val="left" w:pos="460"/>
          <w:tab w:val="left" w:pos="461"/>
        </w:tabs>
        <w:ind w:left="460" w:hanging="361"/>
        <w:rPr>
          <w:rFonts w:ascii="Calibri" w:hAnsi="Calibri" w:eastAsia="Calibri" w:cs="Calibri"/>
        </w:rPr>
      </w:pPr>
      <w:hyperlink w:anchor="7" r:id="rId11">
        <w:r w:rsidR="00D46CB5">
          <w:rPr>
            <w:rFonts w:ascii="Calibri Light" w:hAnsi="Calibri Light"/>
          </w:rPr>
          <w:t>Retain it for no longer than is necessary for the purpose or</w:t>
        </w:r>
        <w:r w:rsidR="00D46CB5">
          <w:rPr>
            <w:rFonts w:ascii="Calibri Light" w:hAnsi="Calibri Light"/>
            <w:spacing w:val="-7"/>
          </w:rPr>
          <w:t xml:space="preserve"> </w:t>
        </w:r>
        <w:r w:rsidR="00D46CB5">
          <w:rPr>
            <w:rFonts w:ascii="Calibri Light" w:hAnsi="Calibri Light"/>
          </w:rPr>
          <w:t>purposes</w:t>
        </w:r>
      </w:hyperlink>
      <w:hyperlink w:anchor="8" r:id="rId12">
        <w:r w:rsidR="00D46CB5">
          <w:rPr>
            <w:rFonts w:ascii="Calibri Light" w:hAnsi="Calibri Light"/>
          </w:rPr>
          <w:t>Give a copy of his/her personal data to an individual, on</w:t>
        </w:r>
        <w:r w:rsidR="00D46CB5">
          <w:rPr>
            <w:rFonts w:ascii="Calibri Light" w:hAnsi="Calibri Light"/>
            <w:spacing w:val="-10"/>
          </w:rPr>
          <w:t xml:space="preserve"> </w:t>
        </w:r>
        <w:r w:rsidR="00D46CB5">
          <w:rPr>
            <w:rFonts w:ascii="Calibri Light" w:hAnsi="Calibri Light"/>
          </w:rPr>
          <w:t>request</w:t>
        </w:r>
      </w:hyperlink>
    </w:p>
    <w:p w:rsidR="00B634A7" w:rsidP="08B57D18" w:rsidRDefault="00D46CB5" w14:paraId="1D260AAB" w14:textId="5AD2B68E">
      <w:pPr>
        <w:pStyle w:val="Normal"/>
        <w:tabs>
          <w:tab w:val="left" w:pos="460"/>
          <w:tab w:val="left" w:pos="461"/>
        </w:tabs>
        <w:spacing w:before="1"/>
        <w:ind w:left="0"/>
      </w:pPr>
    </w:p>
    <w:p w:rsidR="00B634A7" w:rsidP="08B57D18" w:rsidRDefault="00D46CB5" w14:paraId="53904A06" w14:textId="23A88B78">
      <w:pPr>
        <w:pStyle w:val="Heading2"/>
        <w:tabs>
          <w:tab w:val="left" w:leader="none" w:pos="460"/>
          <w:tab w:val="left" w:leader="none" w:pos="461"/>
        </w:tabs>
        <w:rPr>
          <w:rFonts w:ascii="Calibri" w:hAnsi="Calibri" w:eastAsia="Calibri" w:cs="Calibri"/>
          <w:b w:val="1"/>
          <w:bCs w:val="1"/>
        </w:rPr>
      </w:pPr>
      <w:r w:rsidR="00D46CB5">
        <w:rPr/>
        <w:t>Access to Records</w:t>
      </w:r>
    </w:p>
    <w:p w:rsidR="00B634A7" w:rsidP="08B57D18" w:rsidRDefault="00B634A7" w14:paraId="51B21469" w14:textId="308104F7">
      <w:pPr>
        <w:pStyle w:val="BodyText"/>
        <w:spacing w:before="183" w:line="259" w:lineRule="auto"/>
        <w:ind w:right="336"/>
        <w:sectPr w:rsidR="00B634A7">
          <w:type w:val="continuous"/>
          <w:pgSz w:w="11910" w:h="16840" w:orient="portrait"/>
          <w:pgMar w:top="1380" w:right="1340" w:bottom="280" w:left="1280" w:header="720" w:footer="720" w:gutter="0"/>
          <w:cols w:space="720"/>
        </w:sectPr>
      </w:pPr>
      <w:r w:rsidR="00005AE5">
        <w:rPr/>
        <w:t xml:space="preserve">The SOM Student Welfare &amp; Support Office </w:t>
      </w:r>
      <w:r w:rsidR="00D46CB5">
        <w:rPr/>
        <w:t xml:space="preserve">records are accessible only to members of </w:t>
      </w:r>
      <w:r w:rsidR="00005AE5">
        <w:rPr/>
        <w:t>the SOM Student Welfare &amp; Support Officer</w:t>
      </w:r>
      <w:r w:rsidR="00D46CB5">
        <w:rPr/>
        <w:t xml:space="preserve">, and in the </w:t>
      </w:r>
      <w:r w:rsidR="00005AE5">
        <w:rPr/>
        <w:t>SOM</w:t>
      </w:r>
      <w:r w:rsidR="00D46CB5">
        <w:rPr/>
        <w:t xml:space="preserve">, the </w:t>
      </w:r>
      <w:r w:rsidR="00005AE5">
        <w:rPr/>
        <w:t xml:space="preserve">School </w:t>
      </w:r>
      <w:r w:rsidR="00005AE5">
        <w:rPr/>
        <w:t>Manager</w:t>
      </w:r>
      <w:r w:rsidR="008F550D">
        <w:rPr/>
        <w:t xml:space="preserve"> and Director of Undergraduate Teaching &amp; Learning</w:t>
      </w:r>
      <w:r w:rsidR="6C1E2AB7">
        <w:rPr/>
        <w:t xml:space="preserve">, or Director of Postgraduate Teaching &amp; Learning as </w:t>
      </w:r>
      <w:r w:rsidR="3F637C8B">
        <w:rPr/>
        <w:t>appropriate</w:t>
      </w:r>
      <w:r w:rsidR="3F637C8B">
        <w:rPr/>
        <w:t>.</w:t>
      </w:r>
    </w:p>
    <w:p w:rsidR="00B634A7" w:rsidRDefault="00D46CB5" w14:paraId="37C5E958" w14:textId="168CBF11">
      <w:pPr>
        <w:pStyle w:val="BodyText"/>
        <w:spacing w:before="41" w:line="259" w:lineRule="auto"/>
        <w:ind w:right="316"/>
      </w:pPr>
      <w:r w:rsidR="00D46CB5">
        <w:rPr/>
        <w:t xml:space="preserve">Information on whether a student has sought </w:t>
      </w:r>
      <w:r w:rsidR="00D46CB5">
        <w:rPr/>
        <w:t>assistance</w:t>
      </w:r>
      <w:r w:rsidR="00D46CB5">
        <w:rPr/>
        <w:t xml:space="preserve"> from </w:t>
      </w:r>
      <w:r w:rsidR="001002F2">
        <w:rPr/>
        <w:t xml:space="preserve">SOM Student Welfare &amp; Support Office </w:t>
      </w:r>
      <w:r w:rsidR="00D46CB5">
        <w:rPr/>
        <w:t>is made available to others on a need</w:t>
      </w:r>
      <w:r w:rsidR="001002F2">
        <w:rPr/>
        <w:t>-</w:t>
      </w:r>
      <w:r w:rsidR="00D46CB5">
        <w:rPr/>
        <w:t>to</w:t>
      </w:r>
      <w:r w:rsidR="001002F2">
        <w:rPr/>
        <w:t>-</w:t>
      </w:r>
      <w:r w:rsidR="00D46CB5">
        <w:rPr/>
        <w:t>know basis for the purpose of the provision of, or access to, services with the student’s consent.</w:t>
      </w:r>
    </w:p>
    <w:p w:rsidR="00B634A7" w:rsidRDefault="00D46CB5" w14:paraId="3E95AFB5" w14:textId="321B8073">
      <w:pPr>
        <w:pStyle w:val="BodyText"/>
        <w:spacing w:before="160"/>
        <w:ind w:right="225"/>
      </w:pPr>
      <w:r w:rsidR="00D46CB5">
        <w:rPr/>
        <w:t xml:space="preserve">There are </w:t>
      </w:r>
      <w:r w:rsidR="00D46CB5">
        <w:rPr/>
        <w:t>a n</w:t>
      </w:r>
      <w:r w:rsidR="00D46CB5">
        <w:rPr/>
        <w:t>umber of</w:t>
      </w:r>
      <w:r w:rsidR="00D46CB5">
        <w:rPr/>
        <w:t xml:space="preserve"> limited exceptions to this principle, namely when a member of </w:t>
      </w:r>
      <w:r w:rsidR="001002F2">
        <w:rPr/>
        <w:t>the SOM Student Welfare &amp; Support Office</w:t>
      </w:r>
      <w:r w:rsidR="00D46CB5">
        <w:rPr/>
        <w:t xml:space="preserve"> has </w:t>
      </w:r>
      <w:r w:rsidR="00D46CB5">
        <w:rPr/>
        <w:t>a serious concern</w:t>
      </w:r>
      <w:r w:rsidR="00D46CB5">
        <w:rPr/>
        <w:t xml:space="preserve"> that:</w:t>
      </w:r>
    </w:p>
    <w:p w:rsidR="00B634A7" w:rsidRDefault="00B634A7" w14:paraId="0F828B53" w14:textId="77777777">
      <w:pPr>
        <w:pStyle w:val="BodyText"/>
        <w:ind w:left="0"/>
      </w:pPr>
    </w:p>
    <w:p w:rsidR="00B634A7" w:rsidRDefault="00D46CB5" w14:paraId="1E279717" w14:textId="77777777">
      <w:pPr>
        <w:pStyle w:val="ListParagraph"/>
        <w:numPr>
          <w:ilvl w:val="0"/>
          <w:numId w:val="3"/>
        </w:numPr>
        <w:tabs>
          <w:tab w:val="left" w:pos="521"/>
        </w:tabs>
        <w:spacing w:line="267" w:lineRule="exact"/>
        <w:ind w:hanging="361"/>
      </w:pPr>
      <w:r>
        <w:t>There is a threat to the safety of the</w:t>
      </w:r>
      <w:r>
        <w:rPr>
          <w:spacing w:val="-9"/>
        </w:rPr>
        <w:t xml:space="preserve"> </w:t>
      </w:r>
      <w:r>
        <w:t>student</w:t>
      </w:r>
    </w:p>
    <w:p w:rsidR="00B634A7" w:rsidRDefault="00D46CB5" w14:paraId="6FDC2013" w14:textId="77777777">
      <w:pPr>
        <w:pStyle w:val="ListParagraph"/>
        <w:numPr>
          <w:ilvl w:val="0"/>
          <w:numId w:val="3"/>
        </w:numPr>
        <w:tabs>
          <w:tab w:val="left" w:pos="521"/>
        </w:tabs>
        <w:spacing w:line="267" w:lineRule="exact"/>
        <w:ind w:hanging="361"/>
      </w:pPr>
      <w:r>
        <w:t>There is a threat to the safety of</w:t>
      </w:r>
      <w:r>
        <w:rPr>
          <w:spacing w:val="-9"/>
        </w:rPr>
        <w:t xml:space="preserve"> </w:t>
      </w:r>
      <w:r>
        <w:t>others</w:t>
      </w:r>
    </w:p>
    <w:p w:rsidR="00B634A7" w:rsidRDefault="00D46CB5" w14:paraId="6AC7671F" w14:textId="77777777">
      <w:pPr>
        <w:pStyle w:val="ListParagraph"/>
        <w:numPr>
          <w:ilvl w:val="0"/>
          <w:numId w:val="3"/>
        </w:numPr>
        <w:tabs>
          <w:tab w:val="left" w:pos="520"/>
          <w:tab w:val="left" w:pos="521"/>
        </w:tabs>
        <w:ind w:hanging="361"/>
      </w:pPr>
      <w:r>
        <w:t>There is a suspect</w:t>
      </w:r>
      <w:r>
        <w:t>ed risk to the wellbeing of a minor or vulnerable</w:t>
      </w:r>
      <w:r>
        <w:rPr>
          <w:spacing w:val="-18"/>
        </w:rPr>
        <w:t xml:space="preserve"> </w:t>
      </w:r>
      <w:r>
        <w:t>adult.</w:t>
      </w:r>
    </w:p>
    <w:p w:rsidR="00B634A7" w:rsidRDefault="00D46CB5" w14:paraId="7ECBF197" w14:textId="77777777">
      <w:pPr>
        <w:pStyle w:val="ListParagraph"/>
        <w:numPr>
          <w:ilvl w:val="0"/>
          <w:numId w:val="3"/>
        </w:numPr>
        <w:tabs>
          <w:tab w:val="left" w:pos="521"/>
        </w:tabs>
        <w:spacing w:before="1"/>
        <w:ind w:hanging="361"/>
      </w:pPr>
      <w:r>
        <w:t>Such disclosures which may be required as part of a legal/ criminal</w:t>
      </w:r>
      <w:r>
        <w:rPr>
          <w:spacing w:val="-10"/>
        </w:rPr>
        <w:t xml:space="preserve"> </w:t>
      </w:r>
      <w:r>
        <w:t>process</w:t>
      </w:r>
    </w:p>
    <w:p w:rsidR="00B634A7" w:rsidRDefault="00B634A7" w14:paraId="71002C42" w14:textId="77777777">
      <w:pPr>
        <w:pStyle w:val="BodyText"/>
        <w:ind w:left="0"/>
      </w:pPr>
    </w:p>
    <w:p w:rsidR="00B634A7" w:rsidRDefault="00D46CB5" w14:paraId="2EAECA4D" w14:textId="77777777">
      <w:pPr>
        <w:pStyle w:val="BodyText"/>
        <w:spacing w:before="183" w:line="259" w:lineRule="auto"/>
        <w:ind w:right="152"/>
      </w:pPr>
      <w:r>
        <w:t>In the exceptional circumstances listed above, information may be given to appropriate third parties without the student’s</w:t>
      </w:r>
      <w:r>
        <w:t xml:space="preserve"> consent. Where possible, staff should inform the student of their intended actions, however protecting the student’s safety and the safety of others takes precedence.</w:t>
      </w:r>
    </w:p>
    <w:p w:rsidR="00B634A7" w:rsidRDefault="00D46CB5" w14:paraId="0293BC3A" w14:textId="37DB957B">
      <w:pPr>
        <w:pStyle w:val="BodyText"/>
        <w:spacing w:before="160" w:line="259" w:lineRule="auto"/>
        <w:ind w:right="125"/>
      </w:pPr>
      <w:r w:rsidR="00D46CB5">
        <w:rPr/>
        <w:t xml:space="preserve">All information held by </w:t>
      </w:r>
      <w:r w:rsidR="001002F2">
        <w:rPr/>
        <w:t>the SOM Student Welfare &amp; Support Off</w:t>
      </w:r>
      <w:r w:rsidR="00F0457F">
        <w:rPr/>
        <w:t>ice</w:t>
      </w:r>
      <w:r w:rsidR="001002F2">
        <w:rPr/>
        <w:t xml:space="preserve"> </w:t>
      </w:r>
      <w:r w:rsidR="00D46CB5">
        <w:rPr/>
        <w:t>complies with</w:t>
      </w:r>
      <w:r w:rsidR="00D46CB5">
        <w:rPr/>
        <w:t xml:space="preserve"> the r</w:t>
      </w:r>
      <w:r w:rsidR="00D46CB5">
        <w:rPr/>
        <w:t>equirements of the Data Protection Act, the Freedom of Information Acts and relevant College policies. The Data Protection Act forbids the disclosure of personal information without the student’s explicit consent.</w:t>
      </w:r>
    </w:p>
    <w:p w:rsidR="00B634A7" w:rsidRDefault="00B634A7" w14:paraId="78A89EC9" w14:textId="77777777">
      <w:pPr>
        <w:pStyle w:val="BodyText"/>
        <w:ind w:left="0"/>
      </w:pPr>
    </w:p>
    <w:p w:rsidR="00B634A7" w:rsidRDefault="00B634A7" w14:paraId="77E07B2E" w14:textId="77777777">
      <w:pPr>
        <w:pStyle w:val="BodyText"/>
        <w:spacing w:before="10"/>
        <w:ind w:left="0"/>
        <w:rPr>
          <w:sz w:val="27"/>
        </w:rPr>
      </w:pPr>
    </w:p>
    <w:p w:rsidR="00B634A7" w:rsidP="08B57D18" w:rsidRDefault="00D46CB5" w14:paraId="79E295B5" w14:textId="77777777" w14:noSpellErr="1">
      <w:pPr>
        <w:pStyle w:val="Heading2"/>
      </w:pPr>
      <w:r w:rsidR="00D46CB5">
        <w:rPr/>
        <w:t>Basic Principles on Sharing Information</w:t>
      </w:r>
    </w:p>
    <w:p w:rsidR="00B634A7" w:rsidP="08B57D18" w:rsidRDefault="00D46CB5" w14:paraId="049646A8" w14:textId="77777777" w14:noSpellErr="1">
      <w:pPr>
        <w:pStyle w:val="Heading3"/>
        <w:tabs>
          <w:tab w:val="left" w:leader="none" w:pos="521"/>
        </w:tabs>
        <w:ind w:left="0"/>
        <w:rPr>
          <w:rFonts w:ascii="Calibri" w:hAnsi="Calibri" w:eastAsia="Calibri" w:cs="Calibri"/>
        </w:rPr>
      </w:pPr>
      <w:r w:rsidR="00D46CB5">
        <w:rPr/>
        <w:t>When consent is</w:t>
      </w:r>
      <w:r w:rsidR="00D46CB5">
        <w:rPr>
          <w:spacing w:val="-2"/>
        </w:rPr>
        <w:t xml:space="preserve"> </w:t>
      </w:r>
      <w:r w:rsidR="00D46CB5">
        <w:rPr/>
        <w:t>given:</w:t>
      </w:r>
    </w:p>
    <w:p w:rsidR="00B634A7" w:rsidRDefault="00D46CB5" w14:paraId="14213EED" w14:textId="10E09DAA">
      <w:pPr>
        <w:pStyle w:val="BodyText"/>
        <w:spacing w:before="183" w:line="259" w:lineRule="auto"/>
        <w:ind w:right="121"/>
      </w:pPr>
      <w:r w:rsidR="00D46CB5">
        <w:rPr/>
        <w:t xml:space="preserve">Information is shared with other services and third parties only with the student’s consent (subject to the exceptions previously mentioned) and for a defined purpose, such as in </w:t>
      </w:r>
      <w:r w:rsidR="00D46CB5">
        <w:rPr/>
        <w:t>submitting</w:t>
      </w:r>
      <w:r w:rsidR="00D46CB5">
        <w:rPr/>
        <w:t xml:space="preserve"> an academic appeal, requesting an extension</w:t>
      </w:r>
      <w:r w:rsidR="00D46CB5">
        <w:rPr/>
        <w:t xml:space="preserve"> of time on the register, or in accessing </w:t>
      </w:r>
      <w:r w:rsidR="00D46CB5">
        <w:rPr/>
        <w:t xml:space="preserve">additional</w:t>
      </w:r>
      <w:r w:rsidR="00D46CB5">
        <w:rPr/>
        <w:t xml:space="preserve"> supports and services for the student. Information is shared on a </w:t>
      </w:r>
      <w:r w:rsidR="00F0457F">
        <w:rPr/>
        <w:t>need-to-know</w:t>
      </w:r>
      <w:r w:rsidR="00D46CB5">
        <w:rPr/>
        <w:t xml:space="preserve"> basis and will vary according to who needs it and for what</w:t>
      </w:r>
      <w:r w:rsidR="00D46CB5">
        <w:rPr>
          <w:spacing w:val="1"/>
        </w:rPr>
        <w:t xml:space="preserve"> </w:t>
      </w:r>
      <w:r w:rsidR="00D46CB5">
        <w:rPr/>
        <w:t>purpose.</w:t>
      </w:r>
    </w:p>
    <w:p w:rsidR="00B634A7" w:rsidRDefault="00B634A7" w14:paraId="5A77BDCC" w14:textId="77777777">
      <w:pPr>
        <w:pStyle w:val="BodyText"/>
        <w:spacing w:before="7"/>
        <w:ind w:left="0"/>
        <w:rPr>
          <w:sz w:val="23"/>
        </w:rPr>
      </w:pPr>
    </w:p>
    <w:p w:rsidR="00B634A7" w:rsidRDefault="00D46CB5" w14:paraId="3EB921B0" w14:textId="3C81A18E">
      <w:pPr>
        <w:pStyle w:val="BodyText"/>
        <w:spacing w:line="259" w:lineRule="auto"/>
        <w:ind w:right="149"/>
      </w:pPr>
      <w:r w:rsidR="00D46CB5">
        <w:rPr/>
        <w:t xml:space="preserve">In obtaining the student’s consent for the information to be shared, </w:t>
      </w:r>
      <w:r w:rsidR="008F550D">
        <w:rPr/>
        <w:t xml:space="preserve">the Student Welfare </w:t>
      </w:r>
      <w:r w:rsidR="008F550D">
        <w:rPr/>
        <w:t>&amp; Support Office</w:t>
      </w:r>
      <w:r w:rsidR="008F550D">
        <w:rPr/>
        <w:t xml:space="preserve"> </w:t>
      </w:r>
      <w:r w:rsidR="00D46CB5">
        <w:rPr/>
        <w:t xml:space="preserve">will clarify what the purpose is and who will be given the </w:t>
      </w:r>
      <w:r w:rsidR="00D46CB5">
        <w:rPr/>
        <w:t>particular information</w:t>
      </w:r>
      <w:r w:rsidR="00D46CB5">
        <w:rPr/>
        <w:t>, so that students can give thei</w:t>
      </w:r>
      <w:r w:rsidR="00D46CB5">
        <w:rPr/>
        <w:t>r informed consent.</w:t>
      </w:r>
    </w:p>
    <w:p w:rsidR="00B634A7" w:rsidRDefault="00B634A7" w14:paraId="5F4E29F6" w14:textId="77777777">
      <w:pPr>
        <w:pStyle w:val="BodyText"/>
        <w:ind w:left="0"/>
      </w:pPr>
    </w:p>
    <w:p w:rsidR="00B634A7" w:rsidRDefault="00B634A7" w14:paraId="54ACB814" w14:textId="77777777">
      <w:pPr>
        <w:pStyle w:val="BodyText"/>
        <w:ind w:left="0"/>
        <w:rPr>
          <w:sz w:val="28"/>
        </w:rPr>
      </w:pPr>
    </w:p>
    <w:p w:rsidR="00B634A7" w:rsidP="08B57D18" w:rsidRDefault="00D46CB5" w14:paraId="011EBED2" w14:textId="77777777" w14:noSpellErr="1">
      <w:pPr>
        <w:pStyle w:val="Heading3"/>
        <w:tabs>
          <w:tab w:val="left" w:leader="none" w:pos="532"/>
          <w:tab w:val="left" w:leader="none" w:pos="533"/>
        </w:tabs>
        <w:ind w:left="0"/>
        <w:rPr>
          <w:rFonts w:ascii="Calibri" w:hAnsi="Calibri" w:eastAsia="Calibri" w:cs="Calibri"/>
        </w:rPr>
      </w:pPr>
      <w:r w:rsidR="00D46CB5">
        <w:rPr/>
        <w:t>When consent is not</w:t>
      </w:r>
      <w:r w:rsidR="00D46CB5">
        <w:rPr>
          <w:spacing w:val="-7"/>
        </w:rPr>
        <w:t xml:space="preserve"> </w:t>
      </w:r>
      <w:r w:rsidR="00D46CB5">
        <w:rPr/>
        <w:t>given:</w:t>
      </w:r>
    </w:p>
    <w:p w:rsidR="00B634A7" w:rsidRDefault="00D46CB5" w14:paraId="138B32D1" w14:textId="5931FCD8">
      <w:pPr>
        <w:pStyle w:val="BodyText"/>
        <w:spacing w:before="180" w:line="259" w:lineRule="auto"/>
        <w:ind w:right="132"/>
      </w:pPr>
      <w:r w:rsidR="00D46CB5">
        <w:rPr/>
        <w:t>Students are entitled to refuse consent and such decisions should be respected. In such circumstances students should be made aware of the implications of their choice in terms of accessing advice and suppor</w:t>
      </w:r>
      <w:r w:rsidR="00D46CB5">
        <w:rPr/>
        <w:t xml:space="preserve">t. Students may review their decision at any stage during their time with </w:t>
      </w:r>
      <w:r w:rsidR="00F0457F">
        <w:rPr/>
        <w:t>SOM Student Welfare &amp; Support Office.</w:t>
      </w:r>
    </w:p>
    <w:p w:rsidR="00D46CB5" w:rsidP="08B57D18" w:rsidRDefault="00D46CB5" w14:paraId="73B64DA1" w14:textId="43758F04">
      <w:pPr>
        <w:pStyle w:val="BodyText"/>
        <w:spacing w:before="161" w:line="259" w:lineRule="auto"/>
        <w:ind w:right="172"/>
      </w:pPr>
      <w:r w:rsidR="00D46CB5">
        <w:rPr/>
        <w:t>Where there are concerns for the safety of students and others, a consultation with the Student Counselling Service or College Health Service</w:t>
      </w:r>
      <w:r w:rsidR="00D46CB5">
        <w:rPr/>
        <w:t xml:space="preserve"> will be requested to </w:t>
      </w:r>
      <w:r w:rsidR="00D46CB5">
        <w:rPr/>
        <w:t>identify</w:t>
      </w:r>
      <w:r w:rsidR="00D46CB5">
        <w:rPr/>
        <w:t xml:space="preserve"> the most </w:t>
      </w:r>
      <w:r w:rsidR="00D46CB5">
        <w:rPr/>
        <w:t>appropriate way</w:t>
      </w:r>
      <w:r w:rsidR="00D46CB5">
        <w:rPr/>
        <w:t xml:space="preserve"> of </w:t>
      </w:r>
      <w:r w:rsidR="00D46CB5">
        <w:rPr/>
        <w:t>assisting</w:t>
      </w:r>
      <w:r w:rsidR="00D46CB5">
        <w:rPr/>
        <w:t xml:space="preserve"> all concerned and ensuring their safety. </w:t>
      </w:r>
    </w:p>
    <w:p w:rsidR="00B634A7" w:rsidP="08B57D18" w:rsidRDefault="00B634A7" w14:paraId="5B37F374" w14:textId="77777777" w14:noSpellErr="1">
      <w:pPr>
        <w:pStyle w:val="Heading2"/>
      </w:pPr>
    </w:p>
    <w:p w:rsidR="00B634A7" w:rsidP="08B57D18" w:rsidRDefault="00B634A7" w14:paraId="2BFFABF6" w14:textId="618F5CCD">
      <w:pPr>
        <w:pStyle w:val="Normal"/>
        <w:sectPr w:rsidR="00B634A7">
          <w:pgSz w:w="11910" w:h="16840" w:orient="portrait"/>
          <w:pgMar w:top="1380" w:right="1340" w:bottom="280" w:left="1280" w:header="720" w:footer="720" w:gutter="0"/>
          <w:cols w:space="720"/>
        </w:sectPr>
      </w:pPr>
    </w:p>
    <w:p w:rsidR="00B634A7" w:rsidP="08B57D18" w:rsidRDefault="00D46CB5" w14:paraId="1C65857D" w14:textId="0F73B5F3">
      <w:pPr>
        <w:pStyle w:val="Heading2"/>
      </w:pPr>
      <w:r w:rsidR="0E7B23C6">
        <w:rPr/>
        <w:t>Responding to requests for information from third parties</w:t>
      </w:r>
    </w:p>
    <w:p w:rsidR="00B634A7" w:rsidP="08B57D18" w:rsidRDefault="00D46CB5" w14:paraId="0A74C593" w14:textId="6A210FB4">
      <w:pPr>
        <w:pStyle w:val="BodyText"/>
        <w:spacing w:before="41" w:line="259" w:lineRule="auto"/>
        <w:ind w:right="141"/>
        <w:rPr>
          <w:rFonts w:ascii="Calibri" w:hAnsi="Calibri" w:eastAsia="Calibri" w:cs="Calibri" w:asciiTheme="minorAscii" w:hAnsiTheme="minorAscii" w:eastAsiaTheme="minorAscii" w:cstheme="minorAscii"/>
        </w:rPr>
      </w:pPr>
      <w:r w:rsidRPr="08B57D18" w:rsidR="00D46CB5">
        <w:rPr>
          <w:rFonts w:ascii="Calibri" w:hAnsi="Calibri" w:eastAsia="Calibri" w:cs="Calibri" w:asciiTheme="minorAscii" w:hAnsiTheme="minorAscii" w:eastAsiaTheme="minorAscii" w:cstheme="minorAscii"/>
        </w:rPr>
        <w:t xml:space="preserve">It is recognised that </w:t>
      </w:r>
      <w:r w:rsidRPr="08B57D18" w:rsidR="00D46CB5">
        <w:rPr>
          <w:rFonts w:ascii="Calibri" w:hAnsi="Calibri" w:eastAsia="Calibri" w:cs="Calibri" w:asciiTheme="minorAscii" w:hAnsiTheme="minorAscii" w:eastAsiaTheme="minorAscii" w:cstheme="minorAscii"/>
        </w:rPr>
        <w:t>the majority of</w:t>
      </w:r>
      <w:r w:rsidRPr="08B57D18" w:rsidR="00D46CB5">
        <w:rPr>
          <w:rFonts w:ascii="Calibri" w:hAnsi="Calibri" w:eastAsia="Calibri" w:cs="Calibri" w:asciiTheme="minorAscii" w:hAnsiTheme="minorAscii" w:eastAsiaTheme="minorAscii" w:cstheme="minorAscii"/>
        </w:rPr>
        <w:t xml:space="preserve"> enquiries coming from outside </w:t>
      </w:r>
      <w:r w:rsidRPr="08B57D18" w:rsidR="00F0457F">
        <w:rPr>
          <w:rFonts w:ascii="Calibri" w:hAnsi="Calibri" w:eastAsia="Calibri" w:cs="Calibri" w:asciiTheme="minorAscii" w:hAnsiTheme="minorAscii" w:eastAsiaTheme="minorAscii" w:cstheme="minorAscii"/>
        </w:rPr>
        <w:t>SOM Student Welfare &amp; Support Office</w:t>
      </w:r>
      <w:r w:rsidRPr="08B57D18" w:rsidR="00D46CB5">
        <w:rPr>
          <w:rFonts w:ascii="Calibri" w:hAnsi="Calibri" w:eastAsia="Calibri" w:cs="Calibri" w:asciiTheme="minorAscii" w:hAnsiTheme="minorAscii" w:eastAsiaTheme="minorAscii" w:cstheme="minorAscii"/>
        </w:rPr>
        <w:t xml:space="preserve"> are usually based on a deep concern for the wellbein</w:t>
      </w:r>
      <w:r w:rsidRPr="08B57D18" w:rsidR="00D46CB5">
        <w:rPr>
          <w:rFonts w:ascii="Calibri" w:hAnsi="Calibri" w:eastAsia="Calibri" w:cs="Calibri" w:asciiTheme="minorAscii" w:hAnsiTheme="minorAscii" w:eastAsiaTheme="minorAscii" w:cstheme="minorAscii"/>
        </w:rPr>
        <w:t xml:space="preserve">g of the student. It is natural that parents and family members or members of staff who refer students to the Services would wish to discuss a student case or be informed </w:t>
      </w:r>
      <w:r w:rsidRPr="08B57D18" w:rsidR="00D46CB5">
        <w:rPr>
          <w:rFonts w:ascii="Calibri" w:hAnsi="Calibri" w:eastAsia="Calibri" w:cs="Calibri" w:asciiTheme="minorAscii" w:hAnsiTheme="minorAscii" w:eastAsiaTheme="minorAscii" w:cstheme="minorAscii"/>
        </w:rPr>
        <w:t>whether or not</w:t>
      </w:r>
      <w:r w:rsidRPr="08B57D18" w:rsidR="00D46CB5">
        <w:rPr>
          <w:rFonts w:ascii="Calibri" w:hAnsi="Calibri" w:eastAsia="Calibri" w:cs="Calibri" w:asciiTheme="minorAscii" w:hAnsiTheme="minorAscii" w:eastAsiaTheme="minorAscii" w:cstheme="minorAscii"/>
        </w:rPr>
        <w:t xml:space="preserve"> the student in question has attended.</w:t>
      </w:r>
    </w:p>
    <w:p w:rsidR="00B634A7" w:rsidP="08B57D18" w:rsidRDefault="00D46CB5" w14:paraId="3CCC5DA3" w14:textId="44269334">
      <w:pPr>
        <w:pStyle w:val="BodyText"/>
        <w:spacing w:before="158" w:line="259" w:lineRule="auto"/>
        <w:ind w:right="693"/>
        <w:rPr>
          <w:rFonts w:ascii="Calibri" w:hAnsi="Calibri" w:eastAsia="Calibri" w:cs="Calibri" w:asciiTheme="minorAscii" w:hAnsiTheme="minorAscii" w:eastAsiaTheme="minorAscii" w:cstheme="minorAscii"/>
        </w:rPr>
      </w:pPr>
      <w:r w:rsidRPr="08B57D18" w:rsidR="00D46CB5">
        <w:rPr>
          <w:rFonts w:ascii="Calibri" w:hAnsi="Calibri" w:eastAsia="Calibri" w:cs="Calibri" w:asciiTheme="minorAscii" w:hAnsiTheme="minorAscii" w:eastAsiaTheme="minorAscii" w:cstheme="minorAscii"/>
        </w:rPr>
        <w:t xml:space="preserve">While </w:t>
      </w:r>
      <w:r w:rsidRPr="08B57D18" w:rsidR="00F0457F">
        <w:rPr>
          <w:rFonts w:ascii="Calibri" w:hAnsi="Calibri" w:eastAsia="Calibri" w:cs="Calibri" w:asciiTheme="minorAscii" w:hAnsiTheme="minorAscii" w:eastAsiaTheme="minorAscii" w:cstheme="minorAscii"/>
        </w:rPr>
        <w:t xml:space="preserve">the SOM Student Welfare &amp; Support Office </w:t>
      </w:r>
      <w:r w:rsidRPr="08B57D18" w:rsidR="00D46CB5">
        <w:rPr>
          <w:rFonts w:ascii="Calibri" w:hAnsi="Calibri" w:eastAsia="Calibri" w:cs="Calibri" w:asciiTheme="minorAscii" w:hAnsiTheme="minorAscii" w:eastAsiaTheme="minorAscii" w:cstheme="minorAscii"/>
        </w:rPr>
        <w:t xml:space="preserve">will listen to, </w:t>
      </w:r>
      <w:r w:rsidRPr="08B57D18" w:rsidR="00D46CB5">
        <w:rPr>
          <w:rFonts w:ascii="Calibri" w:hAnsi="Calibri" w:eastAsia="Calibri" w:cs="Calibri" w:asciiTheme="minorAscii" w:hAnsiTheme="minorAscii" w:eastAsiaTheme="minorAscii" w:cstheme="minorAscii"/>
        </w:rPr>
        <w:t>acknowledge</w:t>
      </w:r>
      <w:r w:rsidRPr="08B57D18" w:rsidR="00D46CB5">
        <w:rPr>
          <w:rFonts w:ascii="Calibri" w:hAnsi="Calibri" w:eastAsia="Calibri" w:cs="Calibri" w:asciiTheme="minorAscii" w:hAnsiTheme="minorAscii" w:eastAsiaTheme="minorAscii" w:cstheme="minorAscii"/>
        </w:rPr>
        <w:t xml:space="preserve"> and </w:t>
      </w:r>
      <w:r w:rsidRPr="08B57D18" w:rsidR="00D46CB5">
        <w:rPr>
          <w:rFonts w:ascii="Calibri" w:hAnsi="Calibri" w:eastAsia="Calibri" w:cs="Calibri" w:asciiTheme="minorAscii" w:hAnsiTheme="minorAscii" w:eastAsiaTheme="minorAscii" w:cstheme="minorAscii"/>
        </w:rPr>
        <w:t>assist</w:t>
      </w:r>
      <w:r w:rsidRPr="08B57D18" w:rsidR="00D46CB5">
        <w:rPr>
          <w:rFonts w:ascii="Calibri" w:hAnsi="Calibri" w:eastAsia="Calibri" w:cs="Calibri" w:asciiTheme="minorAscii" w:hAnsiTheme="minorAscii" w:eastAsiaTheme="minorAscii" w:cstheme="minorAscii"/>
        </w:rPr>
        <w:t xml:space="preserve"> with these concerns, we will not </w:t>
      </w:r>
      <w:r w:rsidRPr="08B57D18" w:rsidR="00D46CB5">
        <w:rPr>
          <w:rFonts w:ascii="Calibri" w:hAnsi="Calibri" w:eastAsia="Calibri" w:cs="Calibri" w:asciiTheme="minorAscii" w:hAnsiTheme="minorAscii" w:eastAsiaTheme="minorAscii" w:cstheme="minorAscii"/>
        </w:rPr>
        <w:t>disclose</w:t>
      </w:r>
      <w:r w:rsidRPr="08B57D18" w:rsidR="00D46CB5">
        <w:rPr>
          <w:rFonts w:ascii="Calibri" w:hAnsi="Calibri" w:eastAsia="Calibri" w:cs="Calibri" w:asciiTheme="minorAscii" w:hAnsiTheme="minorAscii" w:eastAsiaTheme="minorAscii" w:cstheme="minorAscii"/>
        </w:rPr>
        <w:t xml:space="preserve"> any information including confirmation of attendance without explicit consent from the student in question.</w:t>
      </w:r>
    </w:p>
    <w:p w:rsidR="00B634A7" w:rsidP="08B57D18" w:rsidRDefault="00D46CB5" w14:paraId="073109C4" w14:textId="224FA5DC">
      <w:pPr>
        <w:pStyle w:val="BodyText"/>
        <w:spacing w:before="159" w:line="259" w:lineRule="auto"/>
        <w:ind w:right="626"/>
        <w:rPr>
          <w:rFonts w:ascii="Calibri" w:hAnsi="Calibri" w:eastAsia="Calibri" w:cs="Calibri" w:asciiTheme="minorAscii" w:hAnsiTheme="minorAscii" w:eastAsiaTheme="minorAscii" w:cstheme="minorAscii"/>
        </w:rPr>
      </w:pPr>
      <w:r w:rsidRPr="08B57D18" w:rsidR="00F0457F">
        <w:rPr>
          <w:rFonts w:ascii="Calibri" w:hAnsi="Calibri" w:eastAsia="Calibri" w:cs="Calibri" w:asciiTheme="minorAscii" w:hAnsiTheme="minorAscii" w:eastAsiaTheme="minorAscii" w:cstheme="minorAscii"/>
        </w:rPr>
        <w:t>The SOM Student Welfare &amp; Support</w:t>
      </w:r>
      <w:r w:rsidRPr="08B57D18" w:rsidR="00D46CB5">
        <w:rPr>
          <w:rFonts w:ascii="Calibri" w:hAnsi="Calibri" w:eastAsia="Calibri" w:cs="Calibri" w:asciiTheme="minorAscii" w:hAnsiTheme="minorAscii" w:eastAsiaTheme="minorAscii" w:cstheme="minorAscii"/>
        </w:rPr>
        <w:t xml:space="preserve"> staff will explain the basis for this non-disclosure; respect for the student, the need to protect confidentiality, and for data protection reasons.</w:t>
      </w:r>
    </w:p>
    <w:p w:rsidR="00B634A7" w:rsidP="08B57D18" w:rsidRDefault="00D46CB5" w14:paraId="7F50459E" w14:textId="1923A2C3">
      <w:pPr>
        <w:pStyle w:val="BodyText"/>
        <w:spacing w:before="162" w:line="259" w:lineRule="auto"/>
        <w:ind w:right="277"/>
        <w:rPr>
          <w:rFonts w:ascii="Calibri" w:hAnsi="Calibri" w:eastAsia="Calibri" w:cs="Calibri" w:asciiTheme="minorAscii" w:hAnsiTheme="minorAscii" w:eastAsiaTheme="minorAscii" w:cstheme="minorAscii"/>
        </w:rPr>
      </w:pPr>
      <w:r w:rsidRPr="08B57D18" w:rsidR="00D46CB5">
        <w:rPr>
          <w:rFonts w:ascii="Calibri" w:hAnsi="Calibri" w:eastAsia="Calibri" w:cs="Calibri" w:asciiTheme="minorAscii" w:hAnsiTheme="minorAscii" w:eastAsiaTheme="minorAscii" w:cstheme="minorAscii"/>
        </w:rPr>
        <w:t>The only exception to this principle is if there is a risk to the student’s safety and that of others etc.</w:t>
      </w:r>
      <w:r w:rsidRPr="08B57D18" w:rsidR="00D46CB5">
        <w:rPr>
          <w:rFonts w:ascii="Calibri" w:hAnsi="Calibri" w:eastAsia="Calibri" w:cs="Calibri" w:asciiTheme="minorAscii" w:hAnsiTheme="minorAscii" w:eastAsiaTheme="minorAscii" w:cstheme="minorAscii"/>
        </w:rPr>
        <w:t xml:space="preserve"> as outlined above. </w:t>
      </w:r>
      <w:r w:rsidRPr="08B57D18" w:rsidR="00D46CB5">
        <w:rPr>
          <w:rFonts w:ascii="Calibri" w:hAnsi="Calibri" w:eastAsia="Calibri" w:cs="Calibri" w:asciiTheme="minorAscii" w:hAnsiTheme="minorAscii" w:eastAsiaTheme="minorAscii" w:cstheme="minorAscii"/>
        </w:rPr>
        <w:t>In particular, if</w:t>
      </w:r>
      <w:r w:rsidRPr="08B57D18" w:rsidR="00D46CB5">
        <w:rPr>
          <w:rFonts w:ascii="Calibri" w:hAnsi="Calibri" w:eastAsia="Calibri" w:cs="Calibri" w:asciiTheme="minorAscii" w:hAnsiTheme="minorAscii" w:eastAsiaTheme="minorAscii" w:cstheme="minorAscii"/>
        </w:rPr>
        <w:t xml:space="preserve"> a third party has reason to be seriously concerned about the safety of a student, </w:t>
      </w:r>
      <w:r w:rsidRPr="08B57D18" w:rsidR="00F0457F">
        <w:rPr>
          <w:rFonts w:ascii="Calibri" w:hAnsi="Calibri" w:eastAsia="Calibri" w:cs="Calibri" w:asciiTheme="minorAscii" w:hAnsiTheme="minorAscii" w:eastAsiaTheme="minorAscii" w:cstheme="minorAscii"/>
        </w:rPr>
        <w:t xml:space="preserve">the SOM Student Welfare &amp; Support Office </w:t>
      </w:r>
      <w:r w:rsidRPr="08B57D18" w:rsidR="00D46CB5">
        <w:rPr>
          <w:rFonts w:ascii="Calibri" w:hAnsi="Calibri" w:eastAsia="Calibri" w:cs="Calibri" w:asciiTheme="minorAscii" w:hAnsiTheme="minorAscii" w:eastAsiaTheme="minorAscii" w:cstheme="minorAscii"/>
        </w:rPr>
        <w:t xml:space="preserve">may seek </w:t>
      </w:r>
      <w:r w:rsidRPr="08B57D18" w:rsidR="00D46CB5">
        <w:rPr>
          <w:rFonts w:ascii="Calibri" w:hAnsi="Calibri" w:eastAsia="Calibri" w:cs="Calibri" w:asciiTheme="minorAscii" w:hAnsiTheme="minorAscii" w:eastAsiaTheme="minorAscii" w:cstheme="minorAscii"/>
        </w:rPr>
        <w:t>assistance</w:t>
      </w:r>
      <w:r w:rsidRPr="08B57D18" w:rsidR="00D46CB5">
        <w:rPr>
          <w:rFonts w:ascii="Calibri" w:hAnsi="Calibri" w:eastAsia="Calibri" w:cs="Calibri" w:asciiTheme="minorAscii" w:hAnsiTheme="minorAscii" w:eastAsiaTheme="minorAscii" w:cstheme="minorAscii"/>
        </w:rPr>
        <w:t xml:space="preserve"> from the Student Counselling Services or the College Health Service.</w:t>
      </w:r>
    </w:p>
    <w:p w:rsidR="00B634A7" w:rsidP="08B57D18" w:rsidRDefault="00B634A7" w14:paraId="458BBF0D" w14:textId="77777777" w14:noSpellErr="1">
      <w:pPr>
        <w:pStyle w:val="BodyText"/>
        <w:ind w:left="0"/>
        <w:rPr>
          <w:rFonts w:ascii="Calibri" w:hAnsi="Calibri" w:eastAsia="Calibri" w:cs="Calibri" w:asciiTheme="minorAscii" w:hAnsiTheme="minorAscii" w:eastAsiaTheme="minorAscii" w:cstheme="minorAscii"/>
        </w:rPr>
      </w:pPr>
    </w:p>
    <w:p w:rsidR="00B634A7" w:rsidP="08B57D18" w:rsidRDefault="00B634A7" w14:paraId="1D2D2AEB" w14:textId="77777777" w14:noSpellErr="1">
      <w:pPr>
        <w:pStyle w:val="BodyText"/>
        <w:spacing w:before="11"/>
        <w:ind w:left="0"/>
        <w:rPr>
          <w:rFonts w:ascii="Calibri" w:hAnsi="Calibri" w:eastAsia="Calibri" w:cs="Calibri" w:asciiTheme="minorAscii" w:hAnsiTheme="minorAscii" w:eastAsiaTheme="minorAscii" w:cstheme="minorAscii"/>
          <w:sz w:val="27"/>
          <w:szCs w:val="27"/>
        </w:rPr>
      </w:pPr>
    </w:p>
    <w:p w:rsidR="00B634A7" w:rsidP="08B57D18" w:rsidRDefault="00D46CB5" w14:paraId="68D44100" w14:textId="77777777" w14:noSpellErr="1">
      <w:pPr>
        <w:pStyle w:val="Heading2"/>
        <w:rPr>
          <w:rFonts w:ascii="Calibri" w:hAnsi="Calibri" w:eastAsia="Calibri" w:cs="Calibri" w:asciiTheme="minorAscii" w:hAnsiTheme="minorAscii" w:eastAsiaTheme="minorAscii" w:cstheme="minorAscii"/>
        </w:rPr>
      </w:pPr>
      <w:r w:rsidRPr="08B57D18" w:rsidR="00D46CB5">
        <w:rPr>
          <w:rFonts w:ascii="Calibri" w:hAnsi="Calibri" w:eastAsia="Calibri" w:cs="Calibri" w:asciiTheme="minorAscii" w:hAnsiTheme="minorAscii" w:eastAsiaTheme="minorAscii" w:cstheme="minorAscii"/>
        </w:rPr>
        <w:t>Freedom of Information</w:t>
      </w:r>
    </w:p>
    <w:p w:rsidR="00B634A7" w:rsidP="08B57D18" w:rsidRDefault="00D46CB5" w14:paraId="31CE8FB7" w14:textId="277DFE9B">
      <w:pPr>
        <w:pStyle w:val="BodyText"/>
        <w:spacing w:before="180"/>
        <w:rPr>
          <w:rFonts w:ascii="Calibri" w:hAnsi="Calibri" w:eastAsia="Calibri" w:cs="Calibri" w:asciiTheme="minorAscii" w:hAnsiTheme="minorAscii" w:eastAsiaTheme="minorAscii" w:cstheme="minorAscii"/>
        </w:rPr>
      </w:pPr>
      <w:r w:rsidRPr="08B57D18" w:rsidR="00D46CB5">
        <w:rPr>
          <w:rFonts w:ascii="Calibri" w:hAnsi="Calibri" w:eastAsia="Calibri" w:cs="Calibri" w:asciiTheme="minorAscii" w:hAnsiTheme="minorAscii" w:eastAsiaTheme="minorAscii" w:cstheme="minorAscii"/>
        </w:rPr>
        <w:t xml:space="preserve">As a department within Trinity, </w:t>
      </w:r>
      <w:r w:rsidRPr="08B57D18" w:rsidR="00F0457F">
        <w:rPr>
          <w:rFonts w:ascii="Calibri" w:hAnsi="Calibri" w:eastAsia="Calibri" w:cs="Calibri" w:asciiTheme="minorAscii" w:hAnsiTheme="minorAscii" w:eastAsiaTheme="minorAscii" w:cstheme="minorAscii"/>
        </w:rPr>
        <w:t xml:space="preserve">the SOM Student &amp; Welfare Office </w:t>
      </w:r>
      <w:r w:rsidRPr="08B57D18" w:rsidR="00D46CB5">
        <w:rPr>
          <w:rFonts w:ascii="Calibri" w:hAnsi="Calibri" w:eastAsia="Calibri" w:cs="Calibri" w:asciiTheme="minorAscii" w:hAnsiTheme="minorAscii" w:eastAsiaTheme="minorAscii" w:cstheme="minorAscii"/>
        </w:rPr>
        <w:t>also adhere</w:t>
      </w:r>
      <w:r w:rsidRPr="08B57D18" w:rsidR="00F0457F">
        <w:rPr>
          <w:rFonts w:ascii="Calibri" w:hAnsi="Calibri" w:eastAsia="Calibri" w:cs="Calibri" w:asciiTheme="minorAscii" w:hAnsiTheme="minorAscii" w:eastAsiaTheme="minorAscii" w:cstheme="minorAscii"/>
        </w:rPr>
        <w:t>s</w:t>
      </w:r>
      <w:r w:rsidRPr="08B57D18" w:rsidR="00D46CB5">
        <w:rPr>
          <w:rFonts w:ascii="Calibri" w:hAnsi="Calibri" w:eastAsia="Calibri" w:cs="Calibri" w:asciiTheme="minorAscii" w:hAnsiTheme="minorAscii" w:eastAsiaTheme="minorAscii" w:cstheme="minorAscii"/>
        </w:rPr>
        <w:t xml:space="preserve"> to the Freedom of Information Acts as follows:</w:t>
      </w:r>
    </w:p>
    <w:p w:rsidR="00B634A7" w:rsidP="08B57D18" w:rsidRDefault="00D46CB5" w14:paraId="5C6C3CD7" w14:textId="77777777" w14:noSpellErr="1">
      <w:pPr>
        <w:pStyle w:val="BodyText"/>
        <w:spacing w:before="183" w:line="256" w:lineRule="auto"/>
        <w:ind w:right="409"/>
        <w:rPr>
          <w:rFonts w:ascii="Calibri" w:hAnsi="Calibri" w:eastAsia="Calibri" w:cs="Calibri" w:asciiTheme="minorAscii" w:hAnsiTheme="minorAscii" w:eastAsiaTheme="minorAscii" w:cstheme="minorAscii"/>
        </w:rPr>
      </w:pPr>
      <w:r w:rsidRPr="08B57D18" w:rsidR="00D46CB5">
        <w:rPr>
          <w:rFonts w:ascii="Calibri" w:hAnsi="Calibri" w:eastAsia="Calibri" w:cs="Calibri" w:asciiTheme="minorAscii" w:hAnsiTheme="minorAscii" w:eastAsiaTheme="minorAscii" w:cstheme="minorAscii"/>
        </w:rPr>
        <w:t>The College is a prescribed ‘public body’ subject to the terms of the Freedom of Information Acts, which</w:t>
      </w:r>
      <w:r w:rsidRPr="08B57D18" w:rsidR="00D46CB5">
        <w:rPr>
          <w:rFonts w:ascii="Calibri" w:hAnsi="Calibri" w:eastAsia="Calibri" w:cs="Calibri" w:asciiTheme="minorAscii" w:hAnsiTheme="minorAscii" w:eastAsiaTheme="minorAscii" w:cstheme="minorAscii"/>
        </w:rPr>
        <w:t xml:space="preserve"> provide:</w:t>
      </w:r>
    </w:p>
    <w:p w:rsidR="00B634A7" w:rsidP="08B57D18" w:rsidRDefault="00D46CB5" w14:paraId="3F66EA62" w14:textId="77777777" w14:noSpellErr="1">
      <w:pPr>
        <w:pStyle w:val="ListParagraph"/>
        <w:numPr>
          <w:ilvl w:val="0"/>
          <w:numId w:val="1"/>
        </w:numPr>
        <w:tabs>
          <w:tab w:val="left" w:pos="521"/>
        </w:tabs>
        <w:spacing w:before="164"/>
        <w:ind w:hanging="361"/>
        <w:rPr>
          <w:rFonts w:ascii="Calibri" w:hAnsi="Calibri" w:eastAsia="Calibri" w:cs="Calibri" w:asciiTheme="minorAscii" w:hAnsiTheme="minorAscii" w:eastAsiaTheme="minorAscii" w:cstheme="minorAscii"/>
        </w:rPr>
      </w:pPr>
      <w:r w:rsidRPr="08B57D18" w:rsidR="00D46CB5">
        <w:rPr>
          <w:rFonts w:ascii="Calibri" w:hAnsi="Calibri" w:eastAsia="Calibri" w:cs="Calibri" w:asciiTheme="minorAscii" w:hAnsiTheme="minorAscii" w:eastAsiaTheme="minorAscii" w:cstheme="minorAscii"/>
        </w:rPr>
        <w:t>a right for each person to access records held by public</w:t>
      </w:r>
      <w:r w:rsidRPr="08B57D18" w:rsidR="00D46CB5">
        <w:rPr>
          <w:rFonts w:ascii="Calibri" w:hAnsi="Calibri" w:eastAsia="Calibri" w:cs="Calibri" w:asciiTheme="minorAscii" w:hAnsiTheme="minorAscii" w:eastAsiaTheme="minorAscii" w:cstheme="minorAscii"/>
          <w:spacing w:val="-9"/>
        </w:rPr>
        <w:t xml:space="preserve"> </w:t>
      </w:r>
      <w:r w:rsidRPr="08B57D18" w:rsidR="00D46CB5">
        <w:rPr>
          <w:rFonts w:ascii="Calibri" w:hAnsi="Calibri" w:eastAsia="Calibri" w:cs="Calibri" w:asciiTheme="minorAscii" w:hAnsiTheme="minorAscii" w:eastAsiaTheme="minorAscii" w:cstheme="minorAscii"/>
        </w:rPr>
        <w:t>bodies;</w:t>
      </w:r>
    </w:p>
    <w:p w:rsidR="00B634A7" w:rsidP="08B57D18" w:rsidRDefault="00D46CB5" w14:paraId="6A3A891E" w14:textId="77777777" w14:noSpellErr="1">
      <w:pPr>
        <w:pStyle w:val="ListParagraph"/>
        <w:numPr>
          <w:ilvl w:val="0"/>
          <w:numId w:val="1"/>
        </w:numPr>
        <w:tabs>
          <w:tab w:val="left" w:pos="521"/>
        </w:tabs>
        <w:spacing w:before="20" w:line="259" w:lineRule="auto"/>
        <w:ind w:right="149"/>
        <w:rPr>
          <w:rFonts w:ascii="Calibri" w:hAnsi="Calibri" w:eastAsia="Calibri" w:cs="Calibri" w:asciiTheme="minorAscii" w:hAnsiTheme="minorAscii" w:eastAsiaTheme="minorAscii" w:cstheme="minorAscii"/>
        </w:rPr>
      </w:pPr>
      <w:r w:rsidRPr="08B57D18" w:rsidR="00D46CB5">
        <w:rPr>
          <w:rFonts w:ascii="Calibri" w:hAnsi="Calibri" w:eastAsia="Calibri" w:cs="Calibri" w:asciiTheme="minorAscii" w:hAnsiTheme="minorAscii" w:eastAsiaTheme="minorAscii" w:cstheme="minorAscii"/>
        </w:rPr>
        <w:t xml:space="preserve">a right for each person to have official information relating to himself or herself amended where it is incomplete, </w:t>
      </w:r>
      <w:r w:rsidRPr="08B57D18" w:rsidR="00D46CB5">
        <w:rPr>
          <w:rFonts w:ascii="Calibri" w:hAnsi="Calibri" w:eastAsia="Calibri" w:cs="Calibri" w:asciiTheme="minorAscii" w:hAnsiTheme="minorAscii" w:eastAsiaTheme="minorAscii" w:cstheme="minorAscii"/>
        </w:rPr>
        <w:t>incorrect</w:t>
      </w:r>
      <w:r w:rsidRPr="08B57D18" w:rsidR="00D46CB5">
        <w:rPr>
          <w:rFonts w:ascii="Calibri" w:hAnsi="Calibri" w:eastAsia="Calibri" w:cs="Calibri" w:asciiTheme="minorAscii" w:hAnsiTheme="minorAscii" w:eastAsiaTheme="minorAscii" w:cstheme="minorAscii"/>
        </w:rPr>
        <w:t xml:space="preserve"> or</w:t>
      </w:r>
      <w:r w:rsidRPr="08B57D18" w:rsidR="00D46CB5">
        <w:rPr>
          <w:rFonts w:ascii="Calibri" w:hAnsi="Calibri" w:eastAsia="Calibri" w:cs="Calibri" w:asciiTheme="minorAscii" w:hAnsiTheme="minorAscii" w:eastAsiaTheme="minorAscii" w:cstheme="minorAscii"/>
          <w:spacing w:val="-5"/>
        </w:rPr>
        <w:t xml:space="preserve"> </w:t>
      </w:r>
      <w:r w:rsidRPr="08B57D18" w:rsidR="00D46CB5">
        <w:rPr>
          <w:rFonts w:ascii="Calibri" w:hAnsi="Calibri" w:eastAsia="Calibri" w:cs="Calibri" w:asciiTheme="minorAscii" w:hAnsiTheme="minorAscii" w:eastAsiaTheme="minorAscii" w:cstheme="minorAscii"/>
        </w:rPr>
        <w:t>misleading;</w:t>
      </w:r>
    </w:p>
    <w:p w:rsidR="00B634A7" w:rsidP="08B57D18" w:rsidRDefault="00D46CB5" w14:paraId="62AB23BB" w14:textId="77777777" w14:noSpellErr="1">
      <w:pPr>
        <w:pStyle w:val="ListParagraph"/>
        <w:numPr>
          <w:ilvl w:val="0"/>
          <w:numId w:val="1"/>
        </w:numPr>
        <w:tabs>
          <w:tab w:val="left" w:pos="520"/>
          <w:tab w:val="left" w:pos="521"/>
        </w:tabs>
        <w:ind w:hanging="361"/>
        <w:rPr>
          <w:rFonts w:ascii="Calibri" w:hAnsi="Calibri" w:eastAsia="Calibri" w:cs="Calibri" w:asciiTheme="minorAscii" w:hAnsiTheme="minorAscii" w:eastAsiaTheme="minorAscii" w:cstheme="minorAscii"/>
        </w:rPr>
      </w:pPr>
      <w:r w:rsidRPr="08B57D18" w:rsidR="00D46CB5">
        <w:rPr>
          <w:rFonts w:ascii="Calibri" w:hAnsi="Calibri" w:eastAsia="Calibri" w:cs="Calibri" w:asciiTheme="minorAscii" w:hAnsiTheme="minorAscii" w:eastAsiaTheme="minorAscii" w:cstheme="minorAscii"/>
        </w:rPr>
        <w:t xml:space="preserve">a right to obtain reasons for </w:t>
      </w:r>
      <w:r w:rsidRPr="08B57D18" w:rsidR="00D46CB5">
        <w:rPr>
          <w:rFonts w:ascii="Calibri" w:hAnsi="Calibri" w:eastAsia="Calibri" w:cs="Calibri" w:asciiTheme="minorAscii" w:hAnsiTheme="minorAscii" w:eastAsiaTheme="minorAscii" w:cstheme="minorAscii"/>
        </w:rPr>
        <w:t>decisions affecting oneself made by a public</w:t>
      </w:r>
      <w:r w:rsidRPr="08B57D18" w:rsidR="00D46CB5">
        <w:rPr>
          <w:rFonts w:ascii="Calibri" w:hAnsi="Calibri" w:eastAsia="Calibri" w:cs="Calibri" w:asciiTheme="minorAscii" w:hAnsiTheme="minorAscii" w:eastAsiaTheme="minorAscii" w:cstheme="minorAscii"/>
          <w:spacing w:val="-13"/>
        </w:rPr>
        <w:t xml:space="preserve"> </w:t>
      </w:r>
      <w:r w:rsidRPr="08B57D18" w:rsidR="00D46CB5">
        <w:rPr>
          <w:rFonts w:ascii="Calibri" w:hAnsi="Calibri" w:eastAsia="Calibri" w:cs="Calibri" w:asciiTheme="minorAscii" w:hAnsiTheme="minorAscii" w:eastAsiaTheme="minorAscii" w:cstheme="minorAscii"/>
        </w:rPr>
        <w:t>body.</w:t>
      </w:r>
    </w:p>
    <w:p w:rsidR="00B634A7" w:rsidP="08B57D18" w:rsidRDefault="00D46CB5" w14:paraId="5A86A2FC" w14:textId="77777777" w14:noSpellErr="1">
      <w:pPr>
        <w:pStyle w:val="BodyText"/>
        <w:spacing w:before="181" w:line="259" w:lineRule="auto"/>
        <w:ind w:right="983"/>
        <w:rPr>
          <w:rFonts w:ascii="Calibri" w:hAnsi="Calibri" w:eastAsia="Calibri" w:cs="Calibri" w:asciiTheme="minorAscii" w:hAnsiTheme="minorAscii" w:eastAsiaTheme="minorAscii" w:cstheme="minorAscii"/>
        </w:rPr>
      </w:pPr>
      <w:r w:rsidRPr="08B57D18" w:rsidR="00D46CB5">
        <w:rPr>
          <w:rFonts w:ascii="Calibri" w:hAnsi="Calibri" w:eastAsia="Calibri" w:cs="Calibri" w:asciiTheme="minorAscii" w:hAnsiTheme="minorAscii" w:eastAsiaTheme="minorAscii" w:cstheme="minorAscii"/>
        </w:rPr>
        <w:t xml:space="preserve">There are also </w:t>
      </w:r>
      <w:r w:rsidRPr="08B57D18" w:rsidR="00D46CB5">
        <w:rPr>
          <w:rFonts w:ascii="Calibri" w:hAnsi="Calibri" w:eastAsia="Calibri" w:cs="Calibri" w:asciiTheme="minorAscii" w:hAnsiTheme="minorAscii" w:eastAsiaTheme="minorAscii" w:cstheme="minorAscii"/>
        </w:rPr>
        <w:t>a number of</w:t>
      </w:r>
      <w:r w:rsidRPr="08B57D18" w:rsidR="00D46CB5">
        <w:rPr>
          <w:rFonts w:ascii="Calibri" w:hAnsi="Calibri" w:eastAsia="Calibri" w:cs="Calibri" w:asciiTheme="minorAscii" w:hAnsiTheme="minorAscii" w:eastAsiaTheme="minorAscii" w:cstheme="minorAscii"/>
        </w:rPr>
        <w:t xml:space="preserve"> exemptions from the right of access to information, such as the exemption applying to the personal information of other individuals.</w:t>
      </w:r>
    </w:p>
    <w:p w:rsidR="00B634A7" w:rsidP="08B57D18" w:rsidRDefault="00D46CB5" w14:paraId="7A278685" w14:textId="77777777" w14:noSpellErr="1">
      <w:pPr>
        <w:pStyle w:val="BodyText"/>
        <w:spacing w:before="162" w:line="256" w:lineRule="auto"/>
        <w:ind w:right="188"/>
        <w:rPr>
          <w:rFonts w:ascii="Calibri" w:hAnsi="Calibri" w:eastAsia="Calibri" w:cs="Calibri" w:asciiTheme="minorAscii" w:hAnsiTheme="minorAscii" w:eastAsiaTheme="minorAscii" w:cstheme="minorAscii"/>
        </w:rPr>
      </w:pPr>
      <w:r w:rsidRPr="08B57D18" w:rsidR="00D46CB5">
        <w:rPr>
          <w:rFonts w:ascii="Calibri" w:hAnsi="Calibri" w:eastAsia="Calibri" w:cs="Calibri" w:asciiTheme="minorAscii" w:hAnsiTheme="minorAscii" w:eastAsiaTheme="minorAscii" w:cstheme="minorAscii"/>
        </w:rPr>
        <w:t>Decisions on the exercise of one’s rights und</w:t>
      </w:r>
      <w:r w:rsidRPr="08B57D18" w:rsidR="00D46CB5">
        <w:rPr>
          <w:rFonts w:ascii="Calibri" w:hAnsi="Calibri" w:eastAsia="Calibri" w:cs="Calibri" w:asciiTheme="minorAscii" w:hAnsiTheme="minorAscii" w:eastAsiaTheme="minorAscii" w:cstheme="minorAscii"/>
        </w:rPr>
        <w:t>er the FOI Acts are made by appointed decision-makers in the College, with provision for review by senior College staff.</w:t>
      </w:r>
    </w:p>
    <w:p w:rsidR="00B634A7" w:rsidP="08B57D18" w:rsidRDefault="00B634A7" w14:paraId="3308317E" w14:textId="5761B061">
      <w:pPr>
        <w:pStyle w:val="BodyText"/>
        <w:spacing w:before="164" w:line="259" w:lineRule="auto"/>
        <w:ind w:right="89"/>
        <w:rPr>
          <w:rFonts w:ascii="Calibri" w:hAnsi="Calibri" w:eastAsia="Calibri" w:cs="Calibri" w:asciiTheme="minorAscii" w:hAnsiTheme="minorAscii" w:eastAsiaTheme="minorAscii" w:cstheme="minorAscii"/>
        </w:rPr>
      </w:pPr>
      <w:r w:rsidRPr="08B57D18" w:rsidR="00D46CB5">
        <w:rPr>
          <w:rFonts w:ascii="Calibri" w:hAnsi="Calibri" w:eastAsia="Calibri" w:cs="Calibri" w:asciiTheme="minorAscii" w:hAnsiTheme="minorAscii" w:eastAsiaTheme="minorAscii" w:cstheme="minorAscii"/>
        </w:rPr>
        <w:t xml:space="preserve">It should be noted that College is not the final arbiter </w:t>
      </w:r>
      <w:r w:rsidRPr="08B57D18" w:rsidR="00D46CB5">
        <w:rPr>
          <w:rFonts w:ascii="Calibri" w:hAnsi="Calibri" w:eastAsia="Calibri" w:cs="Calibri" w:asciiTheme="minorAscii" w:hAnsiTheme="minorAscii" w:eastAsiaTheme="minorAscii" w:cstheme="minorAscii"/>
        </w:rPr>
        <w:t>regarding</w:t>
      </w:r>
      <w:r w:rsidRPr="08B57D18" w:rsidR="00D46CB5">
        <w:rPr>
          <w:rFonts w:ascii="Calibri" w:hAnsi="Calibri" w:eastAsia="Calibri" w:cs="Calibri" w:asciiTheme="minorAscii" w:hAnsiTheme="minorAscii" w:eastAsiaTheme="minorAscii" w:cstheme="minorAscii"/>
        </w:rPr>
        <w:t xml:space="preserve"> access to information and requesters have the right to appeal to the</w:t>
      </w:r>
      <w:r w:rsidRPr="08B57D18" w:rsidR="00D46CB5">
        <w:rPr>
          <w:rFonts w:ascii="Calibri" w:hAnsi="Calibri" w:eastAsia="Calibri" w:cs="Calibri" w:asciiTheme="minorAscii" w:hAnsiTheme="minorAscii" w:eastAsiaTheme="minorAscii" w:cstheme="minorAscii"/>
        </w:rPr>
        <w:t xml:space="preserve"> Information Commissioner and to the Courts.</w:t>
      </w:r>
    </w:p>
    <w:p w:rsidR="08B57D18" w:rsidP="08B57D18" w:rsidRDefault="08B57D18" w14:paraId="111744CD" w14:textId="103ABF8D">
      <w:pPr>
        <w:pStyle w:val="BodyText"/>
        <w:spacing w:before="164" w:line="259" w:lineRule="auto"/>
        <w:ind w:right="89"/>
        <w:rPr>
          <w:rFonts w:ascii="Calibri" w:hAnsi="Calibri" w:eastAsia="Calibri" w:cs="Calibri" w:asciiTheme="minorAscii" w:hAnsiTheme="minorAscii" w:eastAsiaTheme="minorAscii" w:cstheme="minorAscii"/>
        </w:rPr>
      </w:pPr>
    </w:p>
    <w:p w:rsidR="00B634A7" w:rsidP="08B57D18" w:rsidRDefault="00D46CB5" w14:paraId="5C5F8C0F" w14:textId="77777777" w14:noSpellErr="1">
      <w:pPr>
        <w:pStyle w:val="Heading2"/>
        <w:rPr>
          <w:rFonts w:ascii="Calibri" w:hAnsi="Calibri" w:eastAsia="Calibri" w:cs="Calibri" w:asciiTheme="minorAscii" w:hAnsiTheme="minorAscii" w:eastAsiaTheme="minorAscii" w:cstheme="minorAscii"/>
        </w:rPr>
      </w:pPr>
      <w:r w:rsidRPr="08B57D18" w:rsidR="00D46CB5">
        <w:rPr>
          <w:rFonts w:ascii="Calibri" w:hAnsi="Calibri" w:eastAsia="Calibri" w:cs="Calibri" w:asciiTheme="minorAscii" w:hAnsiTheme="minorAscii" w:eastAsiaTheme="minorAscii" w:cstheme="minorAscii"/>
        </w:rPr>
        <w:t>Service-use and evaluation activities</w:t>
      </w:r>
    </w:p>
    <w:p w:rsidR="00B634A7" w:rsidP="08B57D18" w:rsidRDefault="00D46CB5" w14:paraId="588CFAC2" w14:textId="7E748C58">
      <w:pPr>
        <w:pStyle w:val="BodyText"/>
        <w:spacing w:before="183" w:line="400" w:lineRule="auto"/>
        <w:ind w:right="195"/>
        <w:rPr>
          <w:rFonts w:ascii="Calibri" w:hAnsi="Calibri" w:eastAsia="Calibri" w:cs="Calibri" w:asciiTheme="minorAscii" w:hAnsiTheme="minorAscii" w:eastAsiaTheme="minorAscii" w:cstheme="minorAscii"/>
        </w:rPr>
      </w:pPr>
      <w:r w:rsidRPr="08B57D18" w:rsidR="00D46CB5">
        <w:rPr>
          <w:rFonts w:ascii="Calibri" w:hAnsi="Calibri" w:eastAsia="Calibri" w:cs="Calibri" w:asciiTheme="minorAscii" w:hAnsiTheme="minorAscii" w:eastAsiaTheme="minorAscii" w:cstheme="minorAscii"/>
        </w:rPr>
        <w:t xml:space="preserve">All service-use and evaluation data </w:t>
      </w:r>
      <w:r w:rsidRPr="08B57D18" w:rsidR="00D46CB5">
        <w:rPr>
          <w:rFonts w:ascii="Calibri" w:hAnsi="Calibri" w:eastAsia="Calibri" w:cs="Calibri" w:asciiTheme="minorAscii" w:hAnsiTheme="minorAscii" w:eastAsiaTheme="minorAscii" w:cstheme="minorAscii"/>
        </w:rPr>
        <w:t>is</w:t>
      </w:r>
      <w:r w:rsidRPr="08B57D18" w:rsidR="00D46CB5">
        <w:rPr>
          <w:rFonts w:ascii="Calibri" w:hAnsi="Calibri" w:eastAsia="Calibri" w:cs="Calibri" w:asciiTheme="minorAscii" w:hAnsiTheme="minorAscii" w:eastAsiaTheme="minorAscii" w:cstheme="minorAscii"/>
        </w:rPr>
        <w:t xml:space="preserve"> anonymised and student confidentiality </w:t>
      </w:r>
      <w:r w:rsidRPr="08B57D18" w:rsidR="00D46CB5">
        <w:rPr>
          <w:rFonts w:ascii="Calibri" w:hAnsi="Calibri" w:eastAsia="Calibri" w:cs="Calibri" w:asciiTheme="minorAscii" w:hAnsiTheme="minorAscii" w:eastAsiaTheme="minorAscii" w:cstheme="minorAscii"/>
        </w:rPr>
        <w:t>protected at all times</w:t>
      </w:r>
      <w:r w:rsidRPr="08B57D18" w:rsidR="00D46CB5">
        <w:rPr>
          <w:rFonts w:ascii="Calibri" w:hAnsi="Calibri" w:eastAsia="Calibri" w:cs="Calibri" w:asciiTheme="minorAscii" w:hAnsiTheme="minorAscii" w:eastAsiaTheme="minorAscii" w:cstheme="minorAscii"/>
        </w:rPr>
        <w:t xml:space="preserve">. </w:t>
      </w:r>
      <w:r w:rsidRPr="08B57D18" w:rsidR="00F0457F">
        <w:rPr>
          <w:rFonts w:ascii="Calibri" w:hAnsi="Calibri" w:eastAsia="Calibri" w:cs="Calibri" w:asciiTheme="minorAscii" w:hAnsiTheme="minorAscii" w:eastAsiaTheme="minorAscii" w:cstheme="minorAscii"/>
        </w:rPr>
        <w:t xml:space="preserve">The SOM Student Welfare &amp; Support Office </w:t>
      </w:r>
      <w:r w:rsidRPr="08B57D18" w:rsidR="00D46CB5">
        <w:rPr>
          <w:rFonts w:ascii="Calibri" w:hAnsi="Calibri" w:eastAsia="Calibri" w:cs="Calibri" w:asciiTheme="minorAscii" w:hAnsiTheme="minorAscii" w:eastAsiaTheme="minorAscii" w:cstheme="minorAscii"/>
        </w:rPr>
        <w:t>may also collect evaluation data from students using</w:t>
      </w:r>
      <w:r w:rsidRPr="08B57D18" w:rsidR="3C8FF0F3">
        <w:rPr>
          <w:rFonts w:ascii="Calibri" w:hAnsi="Calibri" w:eastAsia="Calibri" w:cs="Calibri" w:asciiTheme="minorAscii" w:hAnsiTheme="minorAscii" w:eastAsiaTheme="minorAscii" w:cstheme="minorAscii"/>
        </w:rPr>
        <w:t xml:space="preserve"> </w:t>
      </w:r>
      <w:r w:rsidRPr="08B57D18" w:rsidR="00D46CB5">
        <w:rPr>
          <w:rFonts w:ascii="Calibri" w:hAnsi="Calibri" w:eastAsia="Calibri" w:cs="Calibri" w:asciiTheme="minorAscii" w:hAnsiTheme="minorAscii" w:eastAsiaTheme="minorAscii" w:cstheme="minorAscii"/>
        </w:rPr>
        <w:t>electronic evaluation forms.</w:t>
      </w:r>
    </w:p>
    <w:p w:rsidR="00B634A7" w:rsidP="08B57D18" w:rsidRDefault="00D46CB5" w14:paraId="5E2F58C1" w14:textId="71D3CF09">
      <w:pPr>
        <w:pStyle w:val="BodyText"/>
        <w:spacing w:before="3" w:line="259" w:lineRule="auto"/>
        <w:ind w:right="252"/>
        <w:rPr>
          <w:rFonts w:ascii="Calibri" w:hAnsi="Calibri" w:eastAsia="Calibri" w:cs="Calibri" w:asciiTheme="minorAscii" w:hAnsiTheme="minorAscii" w:eastAsiaTheme="minorAscii" w:cstheme="minorAscii"/>
        </w:rPr>
      </w:pPr>
      <w:r w:rsidRPr="08B57D18" w:rsidR="00D46CB5">
        <w:rPr>
          <w:rFonts w:ascii="Calibri" w:hAnsi="Calibri" w:eastAsia="Calibri" w:cs="Calibri" w:asciiTheme="minorAscii" w:hAnsiTheme="minorAscii" w:eastAsiaTheme="minorAscii" w:cstheme="minorAscii"/>
        </w:rPr>
        <w:t>No evaluation information s</w:t>
      </w:r>
      <w:r w:rsidRPr="08B57D18" w:rsidR="00D46CB5">
        <w:rPr>
          <w:rFonts w:ascii="Calibri" w:hAnsi="Calibri" w:eastAsia="Calibri" w:cs="Calibri" w:asciiTheme="minorAscii" w:hAnsiTheme="minorAscii" w:eastAsiaTheme="minorAscii" w:cstheme="minorAscii"/>
        </w:rPr>
        <w:t xml:space="preserve">upplied by any individual student will be identifiable nor liable to be linked up to their record in </w:t>
      </w:r>
      <w:r w:rsidRPr="08B57D18" w:rsidR="00F0457F">
        <w:rPr>
          <w:rFonts w:ascii="Calibri" w:hAnsi="Calibri" w:eastAsia="Calibri" w:cs="Calibri" w:asciiTheme="minorAscii" w:hAnsiTheme="minorAscii" w:eastAsiaTheme="minorAscii" w:cstheme="minorAscii"/>
        </w:rPr>
        <w:t>the SOM Studen</w:t>
      </w:r>
      <w:r w:rsidRPr="08B57D18" w:rsidR="00F0457F">
        <w:rPr>
          <w:rFonts w:ascii="Calibri" w:hAnsi="Calibri" w:eastAsia="Calibri" w:cs="Calibri" w:asciiTheme="minorAscii" w:hAnsiTheme="minorAscii" w:eastAsiaTheme="minorAscii" w:cstheme="minorAscii"/>
        </w:rPr>
        <w:t>t Welfare &amp; Support</w:t>
      </w:r>
      <w:r w:rsidRPr="08B57D18" w:rsidR="00F0457F">
        <w:rPr>
          <w:rFonts w:ascii="Calibri" w:hAnsi="Calibri" w:eastAsia="Calibri" w:cs="Calibri" w:asciiTheme="minorAscii" w:hAnsiTheme="minorAscii" w:eastAsiaTheme="minorAscii" w:cstheme="minorAscii"/>
        </w:rPr>
        <w:t xml:space="preserve"> Office</w:t>
      </w:r>
      <w:r w:rsidRPr="08B57D18" w:rsidR="00D46CB5">
        <w:rPr>
          <w:rFonts w:ascii="Calibri" w:hAnsi="Calibri" w:eastAsia="Calibri" w:cs="Calibri" w:asciiTheme="minorAscii" w:hAnsiTheme="minorAscii" w:eastAsiaTheme="minorAscii" w:cstheme="minorAscii"/>
        </w:rPr>
        <w:t xml:space="preserve">, nor will it be </w:t>
      </w:r>
      <w:r w:rsidRPr="08B57D18" w:rsidR="00D46CB5">
        <w:rPr>
          <w:rFonts w:ascii="Calibri" w:hAnsi="Calibri" w:eastAsia="Calibri" w:cs="Calibri" w:asciiTheme="minorAscii" w:hAnsiTheme="minorAscii" w:eastAsiaTheme="minorAscii" w:cstheme="minorAscii"/>
        </w:rPr>
        <w:t>disseminated</w:t>
      </w:r>
      <w:r w:rsidRPr="08B57D18" w:rsidR="00D46CB5">
        <w:rPr>
          <w:rFonts w:ascii="Calibri" w:hAnsi="Calibri" w:eastAsia="Calibri" w:cs="Calibri" w:asciiTheme="minorAscii" w:hAnsiTheme="minorAscii" w:eastAsiaTheme="minorAscii" w:cstheme="minorAscii"/>
        </w:rPr>
        <w:t xml:space="preserve"> in any form that could </w:t>
      </w:r>
      <w:r w:rsidRPr="08B57D18" w:rsidR="00D46CB5">
        <w:rPr>
          <w:rFonts w:ascii="Calibri" w:hAnsi="Calibri" w:eastAsia="Calibri" w:cs="Calibri" w:asciiTheme="minorAscii" w:hAnsiTheme="minorAscii" w:eastAsiaTheme="minorAscii" w:cstheme="minorAscii"/>
        </w:rPr>
        <w:t xml:space="preserve">possibly </w:t>
      </w:r>
      <w:r w:rsidRPr="08B57D18" w:rsidR="00D46CB5">
        <w:rPr>
          <w:rFonts w:ascii="Calibri" w:hAnsi="Calibri" w:eastAsia="Calibri" w:cs="Calibri" w:asciiTheme="minorAscii" w:hAnsiTheme="minorAscii" w:eastAsiaTheme="minorAscii" w:cstheme="minorAscii"/>
        </w:rPr>
        <w:t>identify</w:t>
      </w:r>
      <w:r w:rsidRPr="08B57D18" w:rsidR="00D46CB5">
        <w:rPr>
          <w:rFonts w:ascii="Calibri" w:hAnsi="Calibri" w:eastAsia="Calibri" w:cs="Calibri" w:asciiTheme="minorAscii" w:hAnsiTheme="minorAscii" w:eastAsiaTheme="minorAscii" w:cstheme="minorAscii"/>
        </w:rPr>
        <w:t xml:space="preserve"> the student. Data from service-use and ev</w:t>
      </w:r>
      <w:r w:rsidRPr="08B57D18" w:rsidR="00D46CB5">
        <w:rPr>
          <w:rFonts w:ascii="Calibri" w:hAnsi="Calibri" w:eastAsia="Calibri" w:cs="Calibri" w:asciiTheme="minorAscii" w:hAnsiTheme="minorAscii" w:eastAsiaTheme="minorAscii" w:cstheme="minorAscii"/>
        </w:rPr>
        <w:t xml:space="preserve">aluation activities may be included on the </w:t>
      </w:r>
      <w:r w:rsidRPr="08B57D18" w:rsidR="00F0457F">
        <w:rPr>
          <w:rFonts w:ascii="Calibri" w:hAnsi="Calibri" w:eastAsia="Calibri" w:cs="Calibri" w:asciiTheme="minorAscii" w:hAnsiTheme="minorAscii" w:eastAsiaTheme="minorAscii" w:cstheme="minorAscii"/>
        </w:rPr>
        <w:t xml:space="preserve">SOM Student Welfare &amp; Support </w:t>
      </w:r>
      <w:r w:rsidRPr="08B57D18" w:rsidR="00F0457F">
        <w:rPr>
          <w:rFonts w:ascii="Calibri" w:hAnsi="Calibri" w:eastAsia="Calibri" w:cs="Calibri" w:asciiTheme="minorAscii" w:hAnsiTheme="minorAscii" w:eastAsiaTheme="minorAscii" w:cstheme="minorAscii"/>
        </w:rPr>
        <w:t xml:space="preserve">Office </w:t>
      </w:r>
      <w:r w:rsidRPr="08B57D18" w:rsidR="00D46CB5">
        <w:rPr>
          <w:rFonts w:ascii="Calibri" w:hAnsi="Calibri" w:eastAsia="Calibri" w:cs="Calibri" w:asciiTheme="minorAscii" w:hAnsiTheme="minorAscii" w:eastAsiaTheme="minorAscii" w:cstheme="minorAscii"/>
        </w:rPr>
        <w:t>website or circulated in annual reports or in other public documents.</w:t>
      </w:r>
    </w:p>
    <w:p w:rsidR="00B634A7" w:rsidP="08B57D18" w:rsidRDefault="00D46CB5" w14:paraId="53E2F7FE" w14:textId="2B63E44D">
      <w:pPr>
        <w:pStyle w:val="BodyText"/>
        <w:spacing w:before="3" w:line="259" w:lineRule="auto"/>
        <w:ind w:right="252"/>
        <w:rPr>
          <w:rFonts w:ascii="Calibri" w:hAnsi="Calibri" w:eastAsia="Calibri" w:cs="Calibri" w:asciiTheme="minorAscii" w:hAnsiTheme="minorAscii" w:eastAsiaTheme="minorAscii" w:cstheme="minorAscii"/>
        </w:rPr>
      </w:pPr>
      <w:r w:rsidRPr="08B57D18" w:rsidR="00F0457F">
        <w:rPr>
          <w:rFonts w:ascii="Calibri" w:hAnsi="Calibri" w:eastAsia="Calibri" w:cs="Calibri" w:asciiTheme="minorAscii" w:hAnsiTheme="minorAscii" w:eastAsiaTheme="minorAscii" w:cstheme="minorAscii"/>
        </w:rPr>
        <w:t xml:space="preserve">Date: </w:t>
      </w:r>
      <w:r w:rsidRPr="08B57D18" w:rsidR="7ECDBBC1">
        <w:rPr>
          <w:rFonts w:ascii="Calibri" w:hAnsi="Calibri" w:eastAsia="Calibri" w:cs="Calibri" w:asciiTheme="minorAscii" w:hAnsiTheme="minorAscii" w:eastAsiaTheme="minorAscii" w:cstheme="minorAscii"/>
        </w:rPr>
        <w:t>31</w:t>
      </w:r>
      <w:r w:rsidRPr="08B57D18" w:rsidR="7ECDBBC1">
        <w:rPr>
          <w:rFonts w:ascii="Calibri" w:hAnsi="Calibri" w:eastAsia="Calibri" w:cs="Calibri" w:asciiTheme="minorAscii" w:hAnsiTheme="minorAscii" w:eastAsiaTheme="minorAscii" w:cstheme="minorAscii"/>
          <w:vertAlign w:val="superscript"/>
        </w:rPr>
        <w:t>st</w:t>
      </w:r>
      <w:r w:rsidRPr="08B57D18" w:rsidR="7ECDBBC1">
        <w:rPr>
          <w:rFonts w:ascii="Calibri" w:hAnsi="Calibri" w:eastAsia="Calibri" w:cs="Calibri" w:asciiTheme="minorAscii" w:hAnsiTheme="minorAscii" w:eastAsiaTheme="minorAscii" w:cstheme="minorAscii"/>
        </w:rPr>
        <w:t xml:space="preserve"> August </w:t>
      </w:r>
      <w:r w:rsidRPr="08B57D18" w:rsidR="00F0457F">
        <w:rPr>
          <w:rFonts w:ascii="Calibri" w:hAnsi="Calibri" w:eastAsia="Calibri" w:cs="Calibri" w:asciiTheme="minorAscii" w:hAnsiTheme="minorAscii" w:eastAsiaTheme="minorAscii" w:cstheme="minorAscii"/>
        </w:rPr>
        <w:t>2023</w:t>
      </w:r>
    </w:p>
    <w:sectPr w:rsidR="00B634A7">
      <w:pgSz w:w="11910" w:h="16840" w:orient="portrait"/>
      <w:pgMar w:top="1380" w:right="1340" w:bottom="280" w:left="128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10A9D"/>
    <w:multiLevelType w:val="hybridMultilevel"/>
    <w:tmpl w:val="C96CE6D2"/>
    <w:lvl w:ilvl="0" w:tplc="83525108">
      <w:start w:val="1"/>
      <w:numFmt w:val="lowerLetter"/>
      <w:lvlText w:val="%1."/>
      <w:lvlJc w:val="left"/>
      <w:pPr>
        <w:ind w:left="520" w:hanging="360"/>
        <w:jc w:val="left"/>
      </w:pPr>
      <w:rPr>
        <w:rFonts w:hint="default" w:ascii="Calibri" w:hAnsi="Calibri" w:eastAsia="Calibri" w:cs="Calibri"/>
        <w:spacing w:val="-1"/>
        <w:w w:val="100"/>
        <w:sz w:val="22"/>
        <w:szCs w:val="22"/>
        <w:lang w:val="en-IE" w:eastAsia="en-IE" w:bidi="en-IE"/>
      </w:rPr>
    </w:lvl>
    <w:lvl w:ilvl="1" w:tplc="F244CD14">
      <w:numFmt w:val="bullet"/>
      <w:lvlText w:val="•"/>
      <w:lvlJc w:val="left"/>
      <w:pPr>
        <w:ind w:left="1396" w:hanging="360"/>
      </w:pPr>
      <w:rPr>
        <w:rFonts w:hint="default"/>
        <w:lang w:val="en-IE" w:eastAsia="en-IE" w:bidi="en-IE"/>
      </w:rPr>
    </w:lvl>
    <w:lvl w:ilvl="2" w:tplc="FC6440E0">
      <w:numFmt w:val="bullet"/>
      <w:lvlText w:val="•"/>
      <w:lvlJc w:val="left"/>
      <w:pPr>
        <w:ind w:left="2273" w:hanging="360"/>
      </w:pPr>
      <w:rPr>
        <w:rFonts w:hint="default"/>
        <w:lang w:val="en-IE" w:eastAsia="en-IE" w:bidi="en-IE"/>
      </w:rPr>
    </w:lvl>
    <w:lvl w:ilvl="3" w:tplc="4D88B46A">
      <w:numFmt w:val="bullet"/>
      <w:lvlText w:val="•"/>
      <w:lvlJc w:val="left"/>
      <w:pPr>
        <w:ind w:left="3149" w:hanging="360"/>
      </w:pPr>
      <w:rPr>
        <w:rFonts w:hint="default"/>
        <w:lang w:val="en-IE" w:eastAsia="en-IE" w:bidi="en-IE"/>
      </w:rPr>
    </w:lvl>
    <w:lvl w:ilvl="4" w:tplc="E0B8B3E6">
      <w:numFmt w:val="bullet"/>
      <w:lvlText w:val="•"/>
      <w:lvlJc w:val="left"/>
      <w:pPr>
        <w:ind w:left="4026" w:hanging="360"/>
      </w:pPr>
      <w:rPr>
        <w:rFonts w:hint="default"/>
        <w:lang w:val="en-IE" w:eastAsia="en-IE" w:bidi="en-IE"/>
      </w:rPr>
    </w:lvl>
    <w:lvl w:ilvl="5" w:tplc="F48E9494">
      <w:numFmt w:val="bullet"/>
      <w:lvlText w:val="•"/>
      <w:lvlJc w:val="left"/>
      <w:pPr>
        <w:ind w:left="4903" w:hanging="360"/>
      </w:pPr>
      <w:rPr>
        <w:rFonts w:hint="default"/>
        <w:lang w:val="en-IE" w:eastAsia="en-IE" w:bidi="en-IE"/>
      </w:rPr>
    </w:lvl>
    <w:lvl w:ilvl="6" w:tplc="7D384336">
      <w:numFmt w:val="bullet"/>
      <w:lvlText w:val="•"/>
      <w:lvlJc w:val="left"/>
      <w:pPr>
        <w:ind w:left="5779" w:hanging="360"/>
      </w:pPr>
      <w:rPr>
        <w:rFonts w:hint="default"/>
        <w:lang w:val="en-IE" w:eastAsia="en-IE" w:bidi="en-IE"/>
      </w:rPr>
    </w:lvl>
    <w:lvl w:ilvl="7" w:tplc="FF34FA90">
      <w:numFmt w:val="bullet"/>
      <w:lvlText w:val="•"/>
      <w:lvlJc w:val="left"/>
      <w:pPr>
        <w:ind w:left="6656" w:hanging="360"/>
      </w:pPr>
      <w:rPr>
        <w:rFonts w:hint="default"/>
        <w:lang w:val="en-IE" w:eastAsia="en-IE" w:bidi="en-IE"/>
      </w:rPr>
    </w:lvl>
    <w:lvl w:ilvl="8" w:tplc="0AB4E4E0">
      <w:numFmt w:val="bullet"/>
      <w:lvlText w:val="•"/>
      <w:lvlJc w:val="left"/>
      <w:pPr>
        <w:ind w:left="7533" w:hanging="360"/>
      </w:pPr>
      <w:rPr>
        <w:rFonts w:hint="default"/>
        <w:lang w:val="en-IE" w:eastAsia="en-IE" w:bidi="en-IE"/>
      </w:rPr>
    </w:lvl>
  </w:abstractNum>
  <w:abstractNum w:abstractNumId="1" w15:restartNumberingAfterBreak="0">
    <w:nsid w:val="52DD3A05"/>
    <w:multiLevelType w:val="hybridMultilevel"/>
    <w:tmpl w:val="3F7843F0"/>
    <w:lvl w:ilvl="0" w:tplc="BEE622F2">
      <w:start w:val="1"/>
      <w:numFmt w:val="lowerLetter"/>
      <w:lvlText w:val="%1."/>
      <w:lvlJc w:val="left"/>
      <w:pPr>
        <w:ind w:left="520" w:hanging="360"/>
        <w:jc w:val="left"/>
      </w:pPr>
      <w:rPr>
        <w:rFonts w:hint="default" w:ascii="Calibri" w:hAnsi="Calibri" w:eastAsia="Calibri" w:cs="Calibri"/>
        <w:spacing w:val="-1"/>
        <w:w w:val="100"/>
        <w:sz w:val="22"/>
        <w:szCs w:val="22"/>
        <w:lang w:val="en-IE" w:eastAsia="en-IE" w:bidi="en-IE"/>
      </w:rPr>
    </w:lvl>
    <w:lvl w:ilvl="1" w:tplc="FF8A13A8">
      <w:numFmt w:val="bullet"/>
      <w:lvlText w:val="•"/>
      <w:lvlJc w:val="left"/>
      <w:pPr>
        <w:ind w:left="1396" w:hanging="360"/>
      </w:pPr>
      <w:rPr>
        <w:rFonts w:hint="default"/>
        <w:lang w:val="en-IE" w:eastAsia="en-IE" w:bidi="en-IE"/>
      </w:rPr>
    </w:lvl>
    <w:lvl w:ilvl="2" w:tplc="7504B8C6">
      <w:numFmt w:val="bullet"/>
      <w:lvlText w:val="•"/>
      <w:lvlJc w:val="left"/>
      <w:pPr>
        <w:ind w:left="2273" w:hanging="360"/>
      </w:pPr>
      <w:rPr>
        <w:rFonts w:hint="default"/>
        <w:lang w:val="en-IE" w:eastAsia="en-IE" w:bidi="en-IE"/>
      </w:rPr>
    </w:lvl>
    <w:lvl w:ilvl="3" w:tplc="2F6830F6">
      <w:numFmt w:val="bullet"/>
      <w:lvlText w:val="•"/>
      <w:lvlJc w:val="left"/>
      <w:pPr>
        <w:ind w:left="3149" w:hanging="360"/>
      </w:pPr>
      <w:rPr>
        <w:rFonts w:hint="default"/>
        <w:lang w:val="en-IE" w:eastAsia="en-IE" w:bidi="en-IE"/>
      </w:rPr>
    </w:lvl>
    <w:lvl w:ilvl="4" w:tplc="A322E2F0">
      <w:numFmt w:val="bullet"/>
      <w:lvlText w:val="•"/>
      <w:lvlJc w:val="left"/>
      <w:pPr>
        <w:ind w:left="4026" w:hanging="360"/>
      </w:pPr>
      <w:rPr>
        <w:rFonts w:hint="default"/>
        <w:lang w:val="en-IE" w:eastAsia="en-IE" w:bidi="en-IE"/>
      </w:rPr>
    </w:lvl>
    <w:lvl w:ilvl="5" w:tplc="D16E1B5E">
      <w:numFmt w:val="bullet"/>
      <w:lvlText w:val="•"/>
      <w:lvlJc w:val="left"/>
      <w:pPr>
        <w:ind w:left="4903" w:hanging="360"/>
      </w:pPr>
      <w:rPr>
        <w:rFonts w:hint="default"/>
        <w:lang w:val="en-IE" w:eastAsia="en-IE" w:bidi="en-IE"/>
      </w:rPr>
    </w:lvl>
    <w:lvl w:ilvl="6" w:tplc="2FC88228">
      <w:numFmt w:val="bullet"/>
      <w:lvlText w:val="•"/>
      <w:lvlJc w:val="left"/>
      <w:pPr>
        <w:ind w:left="5779" w:hanging="360"/>
      </w:pPr>
      <w:rPr>
        <w:rFonts w:hint="default"/>
        <w:lang w:val="en-IE" w:eastAsia="en-IE" w:bidi="en-IE"/>
      </w:rPr>
    </w:lvl>
    <w:lvl w:ilvl="7" w:tplc="B1A23B34">
      <w:numFmt w:val="bullet"/>
      <w:lvlText w:val="•"/>
      <w:lvlJc w:val="left"/>
      <w:pPr>
        <w:ind w:left="6656" w:hanging="360"/>
      </w:pPr>
      <w:rPr>
        <w:rFonts w:hint="default"/>
        <w:lang w:val="en-IE" w:eastAsia="en-IE" w:bidi="en-IE"/>
      </w:rPr>
    </w:lvl>
    <w:lvl w:ilvl="8" w:tplc="87589BFC">
      <w:numFmt w:val="bullet"/>
      <w:lvlText w:val="•"/>
      <w:lvlJc w:val="left"/>
      <w:pPr>
        <w:ind w:left="7533" w:hanging="360"/>
      </w:pPr>
      <w:rPr>
        <w:rFonts w:hint="default"/>
        <w:lang w:val="en-IE" w:eastAsia="en-IE" w:bidi="en-IE"/>
      </w:rPr>
    </w:lvl>
  </w:abstractNum>
  <w:abstractNum w:abstractNumId="2" w15:restartNumberingAfterBreak="0">
    <w:nsid w:val="793073DA"/>
    <w:multiLevelType w:val="hybridMultilevel"/>
    <w:tmpl w:val="6108EA96"/>
    <w:lvl w:ilvl="0">
      <w:start w:val="1"/>
      <w:numFmt w:val="bullet"/>
      <w:lvlText w:val=""/>
      <w:lvlJc w:val="left"/>
      <w:pPr>
        <w:ind w:left="520" w:hanging="360"/>
      </w:pPr>
      <w:rPr>
        <w:rFonts w:hint="default" w:ascii="Symbol" w:hAnsi="Symbol"/>
        <w:w w:val="100"/>
        <w:lang w:val="en-IE" w:eastAsia="en-IE" w:bidi="en-IE"/>
      </w:rPr>
    </w:lvl>
    <w:lvl w:ilvl="1" w:tplc="B448C1D0">
      <w:numFmt w:val="bullet"/>
      <w:lvlText w:val="•"/>
      <w:lvlJc w:val="left"/>
      <w:pPr>
        <w:ind w:left="1396" w:hanging="360"/>
      </w:pPr>
      <w:rPr>
        <w:rFonts w:hint="default"/>
        <w:lang w:val="en-IE" w:eastAsia="en-IE" w:bidi="en-IE"/>
      </w:rPr>
    </w:lvl>
    <w:lvl w:ilvl="2" w:tplc="E5D4BBD0">
      <w:numFmt w:val="bullet"/>
      <w:lvlText w:val="•"/>
      <w:lvlJc w:val="left"/>
      <w:pPr>
        <w:ind w:left="2273" w:hanging="360"/>
      </w:pPr>
      <w:rPr>
        <w:rFonts w:hint="default"/>
        <w:lang w:val="en-IE" w:eastAsia="en-IE" w:bidi="en-IE"/>
      </w:rPr>
    </w:lvl>
    <w:lvl w:ilvl="3" w:tplc="A5FA17B2">
      <w:numFmt w:val="bullet"/>
      <w:lvlText w:val="•"/>
      <w:lvlJc w:val="left"/>
      <w:pPr>
        <w:ind w:left="3149" w:hanging="360"/>
      </w:pPr>
      <w:rPr>
        <w:rFonts w:hint="default"/>
        <w:lang w:val="en-IE" w:eastAsia="en-IE" w:bidi="en-IE"/>
      </w:rPr>
    </w:lvl>
    <w:lvl w:ilvl="4" w:tplc="8AD489B0">
      <w:numFmt w:val="bullet"/>
      <w:lvlText w:val="•"/>
      <w:lvlJc w:val="left"/>
      <w:pPr>
        <w:ind w:left="4026" w:hanging="360"/>
      </w:pPr>
      <w:rPr>
        <w:rFonts w:hint="default"/>
        <w:lang w:val="en-IE" w:eastAsia="en-IE" w:bidi="en-IE"/>
      </w:rPr>
    </w:lvl>
    <w:lvl w:ilvl="5" w:tplc="90F2F970">
      <w:numFmt w:val="bullet"/>
      <w:lvlText w:val="•"/>
      <w:lvlJc w:val="left"/>
      <w:pPr>
        <w:ind w:left="4903" w:hanging="360"/>
      </w:pPr>
      <w:rPr>
        <w:rFonts w:hint="default"/>
        <w:lang w:val="en-IE" w:eastAsia="en-IE" w:bidi="en-IE"/>
      </w:rPr>
    </w:lvl>
    <w:lvl w:ilvl="6" w:tplc="F48AD8C6">
      <w:numFmt w:val="bullet"/>
      <w:lvlText w:val="•"/>
      <w:lvlJc w:val="left"/>
      <w:pPr>
        <w:ind w:left="5779" w:hanging="360"/>
      </w:pPr>
      <w:rPr>
        <w:rFonts w:hint="default"/>
        <w:lang w:val="en-IE" w:eastAsia="en-IE" w:bidi="en-IE"/>
      </w:rPr>
    </w:lvl>
    <w:lvl w:ilvl="7" w:tplc="D87EEE6E">
      <w:numFmt w:val="bullet"/>
      <w:lvlText w:val="•"/>
      <w:lvlJc w:val="left"/>
      <w:pPr>
        <w:ind w:left="6656" w:hanging="360"/>
      </w:pPr>
      <w:rPr>
        <w:rFonts w:hint="default"/>
        <w:lang w:val="en-IE" w:eastAsia="en-IE" w:bidi="en-IE"/>
      </w:rPr>
    </w:lvl>
    <w:lvl w:ilvl="8" w:tplc="789A21BA">
      <w:numFmt w:val="bullet"/>
      <w:lvlText w:val="•"/>
      <w:lvlJc w:val="left"/>
      <w:pPr>
        <w:ind w:left="7533" w:hanging="360"/>
      </w:pPr>
      <w:rPr>
        <w:rFonts w:hint="default"/>
        <w:lang w:val="en-IE" w:eastAsia="en-IE" w:bidi="en-IE"/>
      </w:rPr>
    </w:lvl>
  </w:abstractNum>
  <w:abstractNum w:abstractNumId="3" w15:restartNumberingAfterBreak="0">
    <w:nsid w:val="7ED87EDD"/>
    <w:multiLevelType w:val="hybridMultilevel"/>
    <w:tmpl w:val="95B261CC"/>
    <w:lvl w:ilvl="0" w:tplc="2E0E2124">
      <w:start w:val="1"/>
      <w:numFmt w:val="lowerLetter"/>
      <w:lvlText w:val="%1."/>
      <w:lvlJc w:val="left"/>
      <w:pPr>
        <w:ind w:left="520" w:hanging="360"/>
        <w:jc w:val="left"/>
      </w:pPr>
      <w:rPr>
        <w:rFonts w:hint="default" w:ascii="Calibri" w:hAnsi="Calibri" w:eastAsia="Calibri" w:cs="Calibri"/>
        <w:spacing w:val="-1"/>
        <w:w w:val="100"/>
        <w:sz w:val="22"/>
        <w:szCs w:val="22"/>
        <w:lang w:val="en-IE" w:eastAsia="en-IE" w:bidi="en-IE"/>
      </w:rPr>
    </w:lvl>
    <w:lvl w:ilvl="1" w:tplc="D9CE3898">
      <w:numFmt w:val="bullet"/>
      <w:lvlText w:val="•"/>
      <w:lvlJc w:val="left"/>
      <w:pPr>
        <w:ind w:left="1396" w:hanging="360"/>
      </w:pPr>
      <w:rPr>
        <w:rFonts w:hint="default"/>
        <w:lang w:val="en-IE" w:eastAsia="en-IE" w:bidi="en-IE"/>
      </w:rPr>
    </w:lvl>
    <w:lvl w:ilvl="2" w:tplc="83F036DE">
      <w:numFmt w:val="bullet"/>
      <w:lvlText w:val="•"/>
      <w:lvlJc w:val="left"/>
      <w:pPr>
        <w:ind w:left="2273" w:hanging="360"/>
      </w:pPr>
      <w:rPr>
        <w:rFonts w:hint="default"/>
        <w:lang w:val="en-IE" w:eastAsia="en-IE" w:bidi="en-IE"/>
      </w:rPr>
    </w:lvl>
    <w:lvl w:ilvl="3" w:tplc="53EACAE6">
      <w:numFmt w:val="bullet"/>
      <w:lvlText w:val="•"/>
      <w:lvlJc w:val="left"/>
      <w:pPr>
        <w:ind w:left="3149" w:hanging="360"/>
      </w:pPr>
      <w:rPr>
        <w:rFonts w:hint="default"/>
        <w:lang w:val="en-IE" w:eastAsia="en-IE" w:bidi="en-IE"/>
      </w:rPr>
    </w:lvl>
    <w:lvl w:ilvl="4" w:tplc="613251B6">
      <w:numFmt w:val="bullet"/>
      <w:lvlText w:val="•"/>
      <w:lvlJc w:val="left"/>
      <w:pPr>
        <w:ind w:left="4026" w:hanging="360"/>
      </w:pPr>
      <w:rPr>
        <w:rFonts w:hint="default"/>
        <w:lang w:val="en-IE" w:eastAsia="en-IE" w:bidi="en-IE"/>
      </w:rPr>
    </w:lvl>
    <w:lvl w:ilvl="5" w:tplc="0E0E7822">
      <w:numFmt w:val="bullet"/>
      <w:lvlText w:val="•"/>
      <w:lvlJc w:val="left"/>
      <w:pPr>
        <w:ind w:left="4903" w:hanging="360"/>
      </w:pPr>
      <w:rPr>
        <w:rFonts w:hint="default"/>
        <w:lang w:val="en-IE" w:eastAsia="en-IE" w:bidi="en-IE"/>
      </w:rPr>
    </w:lvl>
    <w:lvl w:ilvl="6" w:tplc="3C46BA7E">
      <w:numFmt w:val="bullet"/>
      <w:lvlText w:val="•"/>
      <w:lvlJc w:val="left"/>
      <w:pPr>
        <w:ind w:left="5779" w:hanging="360"/>
      </w:pPr>
      <w:rPr>
        <w:rFonts w:hint="default"/>
        <w:lang w:val="en-IE" w:eastAsia="en-IE" w:bidi="en-IE"/>
      </w:rPr>
    </w:lvl>
    <w:lvl w:ilvl="7" w:tplc="F4E46208">
      <w:numFmt w:val="bullet"/>
      <w:lvlText w:val="•"/>
      <w:lvlJc w:val="left"/>
      <w:pPr>
        <w:ind w:left="6656" w:hanging="360"/>
      </w:pPr>
      <w:rPr>
        <w:rFonts w:hint="default"/>
        <w:lang w:val="en-IE" w:eastAsia="en-IE" w:bidi="en-IE"/>
      </w:rPr>
    </w:lvl>
    <w:lvl w:ilvl="8" w:tplc="50987194">
      <w:numFmt w:val="bullet"/>
      <w:lvlText w:val="•"/>
      <w:lvlJc w:val="left"/>
      <w:pPr>
        <w:ind w:left="7533" w:hanging="360"/>
      </w:pPr>
      <w:rPr>
        <w:rFonts w:hint="default"/>
        <w:lang w:val="en-IE" w:eastAsia="en-IE" w:bidi="en-IE"/>
      </w:rPr>
    </w:lvl>
  </w:abstractNum>
  <w:num w:numId="1" w16cid:durableId="569193486">
    <w:abstractNumId w:val="1"/>
  </w:num>
  <w:num w:numId="2" w16cid:durableId="92211070">
    <w:abstractNumId w:val="3"/>
  </w:num>
  <w:num w:numId="3" w16cid:durableId="1363627362">
    <w:abstractNumId w:val="0"/>
  </w:num>
  <w:num w:numId="4" w16cid:durableId="772046701">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634A7"/>
    <w:rsid w:val="00005AE5"/>
    <w:rsid w:val="001002F2"/>
    <w:rsid w:val="001D7860"/>
    <w:rsid w:val="005F17A8"/>
    <w:rsid w:val="008F550D"/>
    <w:rsid w:val="00B634A7"/>
    <w:rsid w:val="00D46CB5"/>
    <w:rsid w:val="00F0457F"/>
    <w:rsid w:val="029C77F2"/>
    <w:rsid w:val="06F993EE"/>
    <w:rsid w:val="07AEB8E6"/>
    <w:rsid w:val="08B57D18"/>
    <w:rsid w:val="09455F43"/>
    <w:rsid w:val="0E7B23C6"/>
    <w:rsid w:val="12C2CC83"/>
    <w:rsid w:val="13C515B7"/>
    <w:rsid w:val="20A55F27"/>
    <w:rsid w:val="2578D04A"/>
    <w:rsid w:val="2DE7C2F7"/>
    <w:rsid w:val="3BF224C5"/>
    <w:rsid w:val="3C8FF0F3"/>
    <w:rsid w:val="3DB9EF5E"/>
    <w:rsid w:val="3F637C8B"/>
    <w:rsid w:val="4016980E"/>
    <w:rsid w:val="43F80CA6"/>
    <w:rsid w:val="494205C1"/>
    <w:rsid w:val="4ADDD622"/>
    <w:rsid w:val="4C4D0DA8"/>
    <w:rsid w:val="4F47D6D7"/>
    <w:rsid w:val="527F7799"/>
    <w:rsid w:val="531A08D6"/>
    <w:rsid w:val="63C6FF37"/>
    <w:rsid w:val="65D6145A"/>
    <w:rsid w:val="6C1E2AB7"/>
    <w:rsid w:val="6D17183F"/>
    <w:rsid w:val="6D54B920"/>
    <w:rsid w:val="6EB90FBE"/>
    <w:rsid w:val="6F999409"/>
    <w:rsid w:val="6FACB1AF"/>
    <w:rsid w:val="798B2EBA"/>
    <w:rsid w:val="7D8D7A48"/>
    <w:rsid w:val="7E1456B1"/>
    <w:rsid w:val="7ECDBB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C00C"/>
  <w15:docId w15:val="{284D5BC6-6451-4F8D-8091-6115DBC5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val="en-IE" w:eastAsia="en-IE" w:bidi="en-IE"/>
    </w:rPr>
  </w:style>
  <w:style w:type="paragraph" w:styleId="Heading1">
    <w:name w:val="heading 1"/>
    <w:basedOn w:val="Normal"/>
    <w:uiPriority w:val="9"/>
    <w:qFormat/>
    <w:pPr>
      <w:ind w:left="16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60"/>
    </w:pPr>
  </w:style>
  <w:style w:type="paragraph" w:styleId="ListParagraph">
    <w:name w:val="List Paragraph"/>
    <w:basedOn w:val="Normal"/>
    <w:uiPriority w:val="1"/>
    <w:qFormat/>
    <w:pPr>
      <w:ind w:left="520" w:hanging="361"/>
    </w:pPr>
  </w:style>
  <w:style w:type="paragraph" w:styleId="TableParagraph" w:customStyle="1">
    <w:name w:val="Table Paragraph"/>
    <w:basedOn w:val="Normal"/>
    <w:uiPriority w:val="1"/>
    <w:qFormat/>
  </w:style>
  <w:style w:type="paragraph" w:styleId="Revision">
    <w:name w:val="Revision"/>
    <w:hidden/>
    <w:uiPriority w:val="99"/>
    <w:semiHidden/>
    <w:rsid w:val="00005AE5"/>
    <w:pPr>
      <w:widowControl/>
      <w:autoSpaceDE/>
      <w:autoSpaceDN/>
    </w:pPr>
    <w:rPr>
      <w:rFonts w:ascii="Calibri" w:hAnsi="Calibri" w:eastAsia="Calibri" w:cs="Calibri"/>
      <w:lang w:val="en-IE" w:eastAsia="en-IE" w:bidi="en-IE"/>
    </w:rPr>
  </w:style>
  <w:style w:type="character" w:styleId="CommentReference">
    <w:name w:val="annotation reference"/>
    <w:basedOn w:val="DefaultParagraphFont"/>
    <w:uiPriority w:val="99"/>
    <w:semiHidden/>
    <w:unhideWhenUsed/>
    <w:rsid w:val="00005AE5"/>
    <w:rPr>
      <w:sz w:val="16"/>
      <w:szCs w:val="16"/>
    </w:rPr>
  </w:style>
  <w:style w:type="paragraph" w:styleId="CommentText">
    <w:name w:val="annotation text"/>
    <w:basedOn w:val="Normal"/>
    <w:link w:val="CommentTextChar"/>
    <w:uiPriority w:val="99"/>
    <w:semiHidden/>
    <w:unhideWhenUsed/>
    <w:rsid w:val="00005AE5"/>
    <w:rPr>
      <w:sz w:val="20"/>
      <w:szCs w:val="20"/>
    </w:rPr>
  </w:style>
  <w:style w:type="character" w:styleId="CommentTextChar" w:customStyle="1">
    <w:name w:val="Comment Text Char"/>
    <w:basedOn w:val="DefaultParagraphFont"/>
    <w:link w:val="CommentText"/>
    <w:uiPriority w:val="99"/>
    <w:semiHidden/>
    <w:rsid w:val="00005AE5"/>
    <w:rPr>
      <w:rFonts w:ascii="Calibri" w:hAnsi="Calibri" w:eastAsia="Calibri" w:cs="Calibri"/>
      <w:sz w:val="20"/>
      <w:szCs w:val="20"/>
      <w:lang w:val="en-IE" w:eastAsia="en-IE" w:bidi="en-IE"/>
    </w:rPr>
  </w:style>
  <w:style w:type="paragraph" w:styleId="CommentSubject">
    <w:name w:val="annotation subject"/>
    <w:basedOn w:val="CommentText"/>
    <w:next w:val="CommentText"/>
    <w:link w:val="CommentSubjectChar"/>
    <w:uiPriority w:val="99"/>
    <w:semiHidden/>
    <w:unhideWhenUsed/>
    <w:rsid w:val="00005AE5"/>
    <w:rPr>
      <w:b/>
      <w:bCs/>
    </w:rPr>
  </w:style>
  <w:style w:type="character" w:styleId="CommentSubjectChar" w:customStyle="1">
    <w:name w:val="Comment Subject Char"/>
    <w:basedOn w:val="CommentTextChar"/>
    <w:link w:val="CommentSubject"/>
    <w:uiPriority w:val="99"/>
    <w:semiHidden/>
    <w:rsid w:val="00005AE5"/>
    <w:rPr>
      <w:rFonts w:ascii="Calibri" w:hAnsi="Calibri" w:eastAsia="Calibri" w:cs="Calibri"/>
      <w:b/>
      <w:bCs/>
      <w:sz w:val="20"/>
      <w:szCs w:val="20"/>
      <w:lang w:val="en-IE" w:eastAsia="en-IE" w:bidi="en-IE"/>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www.dataprotection.ie/docs/A-Guide-for-Data-Contollers/y/696.htm" TargetMode="External" Id="rId8" /><Relationship Type="http://schemas.microsoft.com/office/2011/relationships/people" Target="people.xml" Id="rId18" /><Relationship Type="http://schemas.openxmlformats.org/officeDocument/2006/relationships/settings" Target="settings.xml" Id="rId3" /><Relationship Type="http://schemas.openxmlformats.org/officeDocument/2006/relationships/hyperlink" Target="https://www.dataprotection.ie/docs/A-Guide-for-Data-Contollers/y/696.htm" TargetMode="External" Id="rId7" /><Relationship Type="http://schemas.openxmlformats.org/officeDocument/2006/relationships/hyperlink" Target="https://www.dataprotection.ie/docs/A-Guide-for-Data-Contollers/y/696.htm"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dataprotection.ie/docs/A-Guide-for-Data-Contollers/y/696.htm" TargetMode="External" Id="rId6" /><Relationship Type="http://schemas.openxmlformats.org/officeDocument/2006/relationships/hyperlink" Target="https://www.dataprotection.ie/docs/A-Guide-for-Data-Contollers/y/696.htm" TargetMode="External" Id="rId11" /><Relationship Type="http://schemas.openxmlformats.org/officeDocument/2006/relationships/hyperlink" Target="https://www.dataprotection.ie/docs/A-Guide-for-Data-Contollers/y/696.htm" TargetMode="External" Id="rId5" /><Relationship Type="http://schemas.microsoft.com/office/2016/09/relationships/commentsIds" Target="commentsIds.xml" Id="rId15" /><Relationship Type="http://schemas.openxmlformats.org/officeDocument/2006/relationships/hyperlink" Target="https://www.dataprotection.ie/docs/A-Guide-for-Data-Contollers/y/696.htm"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www.dataprotection.ie/docs/A-Guide-for-Data-Contollers/y/696.htm" TargetMode="External" Id="rId9" /><Relationship Type="http://schemas.microsoft.com/office/2011/relationships/commentsExtended" Target="commentsExtended.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Martin John McAndrew</dc:creator>
  <lastModifiedBy>Simone Cameron-Coen</lastModifiedBy>
  <revision>7</revision>
  <dcterms:created xsi:type="dcterms:W3CDTF">2023-05-29T13:32:00.0000000Z</dcterms:created>
  <dcterms:modified xsi:type="dcterms:W3CDTF">2023-09-13T11:32:29.5611326Z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2018-06-27T00:00:00Z</vt:filetime>
  </property>
  <property fmtid="{D5CDD505-2E9C-101B-9397-08002B2CF9AE}" pid="3" name="Creator">
    <vt:lpwstr>Microsoft® Word 2016</vt:lpwstr>
  </property>
  <property fmtid="{D5CDD505-2E9C-101B-9397-08002B2CF9AE}" pid="4" name="LastSaved">
    <vt:filetime>2023-05-29T00:00:00Z</vt:filetime>
  </property>
</Properties>
</file>