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18229B98" w14:textId="7E8AD5B8" w:rsidR="0074657B" w:rsidRPr="0074657B" w:rsidRDefault="0074657B" w:rsidP="0074657B">
      <w:pPr>
        <w:pStyle w:val="Heading1"/>
        <w:jc w:val="center"/>
        <w:rPr>
          <w:rFonts w:ascii="Arial" w:hAnsi="Arial" w:cs="Arial"/>
        </w:rPr>
      </w:pPr>
      <w:r w:rsidRPr="0074657B">
        <w:rPr>
          <w:rFonts w:ascii="Arial" w:hAnsi="Arial" w:cs="Arial"/>
        </w:rPr>
        <w:t>Persuasive Communication For Sustainable Impact</w:t>
      </w:r>
    </w:p>
    <w:p w14:paraId="1FEF455D" w14:textId="5FF1ADA4" w:rsidR="00D6718A" w:rsidRDefault="00177705" w:rsidP="00CA71E4">
      <w:pPr>
        <w:pStyle w:val="Heading1"/>
        <w:jc w:val="center"/>
        <w:rPr>
          <w:rFonts w:ascii="Arial" w:hAnsi="Arial" w:cs="Arial"/>
        </w:rPr>
      </w:pPr>
      <w:r>
        <w:rPr>
          <w:rFonts w:ascii="Arial" w:hAnsi="Arial" w:cs="Arial"/>
        </w:rPr>
        <w:t>2026/</w:t>
      </w:r>
      <w:r w:rsidR="009435AD">
        <w:rPr>
          <w:rFonts w:ascii="Arial" w:hAnsi="Arial" w:cs="Arial"/>
        </w:rPr>
        <w:t>202</w:t>
      </w:r>
      <w:r w:rsidR="006A1A9A">
        <w:rPr>
          <w:rFonts w:ascii="Arial" w:hAnsi="Arial" w:cs="Arial"/>
        </w:rPr>
        <w:t>7</w:t>
      </w:r>
    </w:p>
    <w:p w14:paraId="0DE47136" w14:textId="0FD7D1BA" w:rsidR="009435AD" w:rsidRDefault="009435AD" w:rsidP="009435AD"/>
    <w:p w14:paraId="65958D62" w14:textId="77777777" w:rsidR="009435AD" w:rsidRPr="009435AD" w:rsidRDefault="009435AD" w:rsidP="009435AD"/>
    <w:p w14:paraId="3944BAB5" w14:textId="77777777" w:rsidR="00D6718A" w:rsidRDefault="00D6718A" w:rsidP="00D6718A"/>
    <w:p w14:paraId="693D01E0" w14:textId="54930D9A" w:rsidR="003000AF" w:rsidRPr="00A02AA9" w:rsidRDefault="003000AF" w:rsidP="003000AF">
      <w:pPr>
        <w:pStyle w:val="NoSpacing"/>
        <w:spacing w:line="276" w:lineRule="auto"/>
      </w:pPr>
      <w:r w:rsidRPr="00A02AA9">
        <w:rPr>
          <w:b/>
          <w:bCs/>
        </w:rPr>
        <w:t>MODULE CODE:</w:t>
      </w:r>
      <w:r w:rsidRPr="00A02AA9">
        <w:t xml:space="preserve"> </w:t>
      </w:r>
      <w:r w:rsidR="00D90AE4">
        <w:rPr>
          <w:rFonts w:ascii="Aptos" w:hAnsi="Aptos"/>
          <w:color w:val="222222"/>
          <w:shd w:val="clear" w:color="auto" w:fill="FFFFFF"/>
        </w:rPr>
        <w:t>BUU44713</w:t>
      </w:r>
    </w:p>
    <w:p w14:paraId="647DCA9C" w14:textId="518F3902" w:rsidR="003000AF" w:rsidRPr="00A02AA9" w:rsidRDefault="003000AF" w:rsidP="003000AF">
      <w:pPr>
        <w:pStyle w:val="NoSpacing"/>
        <w:spacing w:line="276" w:lineRule="auto"/>
      </w:pPr>
      <w:r w:rsidRPr="00A02AA9">
        <w:rPr>
          <w:b/>
          <w:bCs/>
        </w:rPr>
        <w:t>MODULE NAME:</w:t>
      </w:r>
      <w:r w:rsidRPr="00A02AA9">
        <w:t xml:space="preserve"> </w:t>
      </w:r>
      <w:r w:rsidR="00835446" w:rsidRPr="004665E1">
        <w:rPr>
          <w:rFonts w:ascii="Calibri" w:hAnsi="Calibri" w:cs="Calibri"/>
          <w:b/>
          <w:bCs/>
          <w:lang w:eastAsia="en-GB"/>
        </w:rPr>
        <w:t>Persuasive Communication For Sustainable Impact</w:t>
      </w:r>
    </w:p>
    <w:p w14:paraId="48D2B383" w14:textId="252DA12F" w:rsidR="003000AF" w:rsidRDefault="003000AF" w:rsidP="003000AF">
      <w:pPr>
        <w:pStyle w:val="NoSpacing"/>
        <w:spacing w:line="276" w:lineRule="auto"/>
      </w:pPr>
      <w:r w:rsidRPr="00A02AA9">
        <w:rPr>
          <w:b/>
          <w:bCs/>
        </w:rPr>
        <w:t>ECTS:</w:t>
      </w:r>
      <w:r w:rsidRPr="00A02AA9">
        <w:t xml:space="preserve">  </w:t>
      </w:r>
      <w:r w:rsidR="00623E03">
        <w:t>20</w:t>
      </w:r>
    </w:p>
    <w:p w14:paraId="563D978F" w14:textId="089EC6FA" w:rsidR="003000AF" w:rsidRPr="00A02AA9" w:rsidRDefault="003000AF" w:rsidP="003000AF">
      <w:pPr>
        <w:pStyle w:val="NoSpacing"/>
        <w:spacing w:line="276" w:lineRule="auto"/>
      </w:pPr>
      <w:r w:rsidRPr="00A02AA9">
        <w:rPr>
          <w:b/>
          <w:bCs/>
        </w:rPr>
        <w:t>Lecturer</w:t>
      </w:r>
      <w:r w:rsidRPr="00A02AA9">
        <w:t>:</w:t>
      </w:r>
      <w:r w:rsidR="000703C0">
        <w:t xml:space="preserve"> </w:t>
      </w:r>
      <w:r w:rsidR="00623E03">
        <w:t>Shayle Ravera</w:t>
      </w:r>
    </w:p>
    <w:p w14:paraId="13EC232A" w14:textId="016EE66A" w:rsidR="003000AF" w:rsidRPr="0035629C" w:rsidRDefault="003000AF" w:rsidP="003000AF">
      <w:pPr>
        <w:pStyle w:val="NoSpacing"/>
        <w:spacing w:line="276" w:lineRule="auto"/>
        <w:rPr>
          <w:bCs/>
          <w:sz w:val="18"/>
          <w:szCs w:val="18"/>
        </w:rPr>
      </w:pPr>
      <w:r w:rsidRPr="0035629C">
        <w:rPr>
          <w:rStyle w:val="normaltextrun"/>
          <w:b/>
        </w:rPr>
        <w:t>E-mail</w:t>
      </w:r>
      <w:r>
        <w:rPr>
          <w:rStyle w:val="normaltextrun"/>
          <w:b/>
        </w:rPr>
        <w:t>:</w:t>
      </w:r>
      <w:r w:rsidRPr="0035629C">
        <w:rPr>
          <w:rStyle w:val="eop"/>
          <w:b/>
          <w:bCs/>
        </w:rPr>
        <w:t> </w:t>
      </w:r>
      <w:r w:rsidRPr="0035629C">
        <w:rPr>
          <w:rStyle w:val="eop"/>
          <w:bCs/>
        </w:rPr>
        <w:t xml:space="preserve"> </w:t>
      </w:r>
      <w:r w:rsidR="00623E03">
        <w:rPr>
          <w:rStyle w:val="eop"/>
          <w:bCs/>
        </w:rPr>
        <w:t>raveras@tcd.ie</w:t>
      </w:r>
    </w:p>
    <w:p w14:paraId="650DD068" w14:textId="55CC47B6" w:rsidR="003000AF" w:rsidRPr="0035629C" w:rsidRDefault="003000AF" w:rsidP="003000AF">
      <w:pPr>
        <w:pStyle w:val="NoSpacing"/>
        <w:spacing w:line="276" w:lineRule="auto"/>
        <w:rPr>
          <w:rStyle w:val="normaltextrun"/>
        </w:rPr>
      </w:pPr>
      <w:r w:rsidRPr="0035629C">
        <w:rPr>
          <w:rStyle w:val="normaltextrun"/>
          <w:b/>
        </w:rPr>
        <w:t>Office Hours:</w:t>
      </w:r>
      <w:r>
        <w:rPr>
          <w:rStyle w:val="normaltextrun"/>
          <w:bCs/>
        </w:rPr>
        <w:t xml:space="preserve"> </w:t>
      </w:r>
    </w:p>
    <w:p w14:paraId="35803075" w14:textId="77777777" w:rsidR="003000AF" w:rsidRPr="0035629C" w:rsidRDefault="003000AF" w:rsidP="00D90AE4">
      <w:pPr>
        <w:rPr>
          <w:b/>
        </w:rPr>
      </w:pPr>
    </w:p>
    <w:p w14:paraId="11CFD08C" w14:textId="592BB5FD" w:rsidR="003000AF" w:rsidRDefault="003000AF" w:rsidP="003000AF">
      <w:pPr>
        <w:ind w:left="2127" w:hanging="2127"/>
        <w:rPr>
          <w:bCs/>
        </w:rPr>
      </w:pPr>
      <w:r w:rsidRPr="0035629C">
        <w:rPr>
          <w:b/>
        </w:rPr>
        <w:t>Available to exchange Students:</w:t>
      </w:r>
      <w:r w:rsidRPr="0035629C">
        <w:rPr>
          <w:bCs/>
        </w:rPr>
        <w:t xml:space="preserve"> </w:t>
      </w:r>
      <w:r w:rsidR="00F26116">
        <w:rPr>
          <w:bCs/>
        </w:rPr>
        <w:t xml:space="preserve">No </w:t>
      </w:r>
    </w:p>
    <w:p w14:paraId="7215089F" w14:textId="2BF8BAEB" w:rsidR="00193AA7" w:rsidRDefault="00193AA7" w:rsidP="00D6718A">
      <w:pPr>
        <w:ind w:left="2127" w:hanging="2127"/>
        <w:rPr>
          <w:rFonts w:ascii="Arial" w:hAnsi="Arial" w:cs="Arial"/>
          <w:b/>
        </w:rPr>
      </w:pPr>
    </w:p>
    <w:p w14:paraId="605A4D7A" w14:textId="77777777" w:rsidR="00D6718A" w:rsidRDefault="00D6718A" w:rsidP="00D6718A">
      <w:pPr>
        <w:pStyle w:val="Heading1"/>
        <w:rPr>
          <w:rFonts w:ascii="Arial" w:hAnsi="Arial" w:cs="Arial"/>
        </w:rPr>
      </w:pPr>
    </w:p>
    <w:p w14:paraId="035B352A" w14:textId="77777777" w:rsidR="00D6718A" w:rsidRDefault="00D6718A" w:rsidP="00D6718A">
      <w:pPr>
        <w:pStyle w:val="Heading1"/>
        <w:rPr>
          <w:rFonts w:ascii="Arial" w:hAnsi="Arial" w:cs="Arial"/>
        </w:rPr>
      </w:pPr>
      <w:r>
        <w:rPr>
          <w:rFonts w:ascii="Arial" w:hAnsi="Arial" w:cs="Arial"/>
        </w:rPr>
        <w:t xml:space="preserve">MODULE DESCRIPTION </w:t>
      </w:r>
    </w:p>
    <w:p w14:paraId="4996AE9F" w14:textId="77777777" w:rsidR="00623E03" w:rsidRDefault="00623E03" w:rsidP="00623E03"/>
    <w:p w14:paraId="63CC3B27" w14:textId="77777777" w:rsidR="00623E03" w:rsidRDefault="00623E03" w:rsidP="00623E03">
      <w:pPr>
        <w:spacing w:before="80" w:after="80"/>
      </w:pPr>
      <w:r>
        <w:rPr>
          <w:rFonts w:ascii="Arial" w:eastAsia="Arial" w:hAnsi="Arial" w:cs="Arial"/>
          <w:sz w:val="22"/>
          <w:szCs w:val="22"/>
        </w:rPr>
        <w:t>This capstone module addresses a critical skill gap by developing students’ ability to communicate complex sustainability-driven value propositions in compelling, ethical, and credible ways. It draws on a theoretically grounded interdisciplinary base spanning classical rhetoric, communication theory, narrative psychology, cognitive science, and the neurobiology of messages</w:t>
      </w:r>
      <w:r>
        <w:t>,</w:t>
      </w:r>
      <w:r>
        <w:rPr>
          <w:rFonts w:ascii="Arial" w:eastAsia="Arial" w:hAnsi="Arial" w:cs="Arial"/>
          <w:sz w:val="22"/>
          <w:szCs w:val="22"/>
        </w:rPr>
        <w:t xml:space="preserve"> providing students with both the conceptual foundations and the applied competence to translate data, impact metrics, and strategic intent into narratives that motivate action without oversimplification or greenwashing.</w:t>
      </w:r>
    </w:p>
    <w:p w14:paraId="2D06219C" w14:textId="77777777" w:rsidR="00623E03" w:rsidRDefault="00623E03" w:rsidP="00623E03">
      <w:pPr>
        <w:spacing w:after="120"/>
      </w:pPr>
    </w:p>
    <w:p w14:paraId="52B44092" w14:textId="63D4F464" w:rsidR="00623E03" w:rsidRDefault="00623E03" w:rsidP="0074657B">
      <w:pPr>
        <w:spacing w:before="80" w:after="80"/>
      </w:pPr>
      <w:r>
        <w:rPr>
          <w:rFonts w:ascii="Arial" w:eastAsia="Arial" w:hAnsi="Arial" w:cs="Arial"/>
          <w:sz w:val="22"/>
          <w:szCs w:val="22"/>
        </w:rPr>
        <w:t>Whether engaging investors, communities, employees, policymakers, or customers, graduates must understand how messages are processed, how persuasion works psychologically and neurologically, and how to exercise that knowledge with ethical rigour. As a capstone, this module synthesises learning from across the programme and challenges students to demonstrate professional readiness by applying storytelling and persuasive communication skills to a real-world sustainability challenge, venture, or organisational initiative.</w:t>
      </w:r>
    </w:p>
    <w:p w14:paraId="3C430CAF" w14:textId="77777777" w:rsidR="0074657B" w:rsidRDefault="0074657B" w:rsidP="0074657B">
      <w:pPr>
        <w:spacing w:before="80" w:after="80"/>
      </w:pPr>
    </w:p>
    <w:p w14:paraId="5FE3CA48" w14:textId="77777777" w:rsidR="00623E03" w:rsidRDefault="00623E03" w:rsidP="00623E03">
      <w:pPr>
        <w:spacing w:before="80" w:after="80"/>
      </w:pPr>
      <w:r>
        <w:rPr>
          <w:rFonts w:ascii="Arial" w:eastAsia="Arial" w:hAnsi="Arial" w:cs="Arial"/>
          <w:sz w:val="22"/>
          <w:szCs w:val="22"/>
        </w:rPr>
        <w:lastRenderedPageBreak/>
        <w:t>The module aims to:</w:t>
      </w:r>
    </w:p>
    <w:p w14:paraId="40D4131C"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Develop storytelling as a strategic leadership capability for sustainable business and social impact, grounded in communication theory and rhetorical tradition</w:t>
      </w:r>
    </w:p>
    <w:p w14:paraId="22EDE2AE"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Enable students to communicate financial, social, and environmental value in an integrated manner using established narrative frameworks</w:t>
      </w:r>
    </w:p>
    <w:p w14:paraId="1B1DE7F5"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Build theoretical understanding and practical competence in persuasive communication across cultures and stakeholder groups</w:t>
      </w:r>
    </w:p>
    <w:p w14:paraId="65586510"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Develop students’ understanding of the psychological and neurobiological mechanisms through which narratives influence decision-making</w:t>
      </w:r>
    </w:p>
    <w:p w14:paraId="0B2A0676" w14:textId="77777777" w:rsidR="00623E03" w:rsidRPr="00623E03" w:rsidRDefault="00623E03" w:rsidP="00623E03">
      <w:pPr>
        <w:pStyle w:val="ListParagraph"/>
        <w:numPr>
          <w:ilvl w:val="0"/>
          <w:numId w:val="34"/>
        </w:numPr>
        <w:spacing w:before="40" w:after="40"/>
        <w:contextualSpacing w:val="0"/>
      </w:pPr>
      <w:r>
        <w:rPr>
          <w:rFonts w:ascii="Arial" w:eastAsia="Arial" w:hAnsi="Arial" w:cs="Arial"/>
          <w:sz w:val="22"/>
          <w:szCs w:val="22"/>
        </w:rPr>
        <w:t>Encourage ethical reflection on power, influence, and responsibility in sustainability narratives</w:t>
      </w:r>
    </w:p>
    <w:p w14:paraId="4F96DB53" w14:textId="77777777" w:rsidR="00623E03" w:rsidRDefault="00623E03" w:rsidP="00623E03">
      <w:pPr>
        <w:spacing w:before="80" w:after="80"/>
        <w:rPr>
          <w:rFonts w:ascii="Arial" w:eastAsia="Arial" w:hAnsi="Arial" w:cs="Arial"/>
          <w:sz w:val="22"/>
          <w:szCs w:val="22"/>
        </w:rPr>
      </w:pPr>
    </w:p>
    <w:p w14:paraId="09AA2449" w14:textId="741E75B7" w:rsidR="00623E03" w:rsidRDefault="00623E03" w:rsidP="00623E03">
      <w:pPr>
        <w:spacing w:before="80" w:after="80"/>
      </w:pPr>
      <w:r>
        <w:rPr>
          <w:rFonts w:ascii="Arial" w:eastAsia="Arial" w:hAnsi="Arial" w:cs="Arial"/>
          <w:sz w:val="22"/>
          <w:szCs w:val="22"/>
        </w:rPr>
        <w:t>The module draws on an interdisciplinary theoretical base</w:t>
      </w:r>
      <w:r>
        <w:t>,</w:t>
      </w:r>
      <w:r>
        <w:rPr>
          <w:rFonts w:ascii="Arial" w:eastAsia="Arial" w:hAnsi="Arial" w:cs="Arial"/>
          <w:sz w:val="22"/>
          <w:szCs w:val="22"/>
        </w:rPr>
        <w:t xml:space="preserve"> spanning narrative theory, classical rhetoric, communication theory, cognitive and neurological psychology, behavioural decision-making, institutional legitimacy, and sustainability ethics</w:t>
      </w:r>
      <w:r>
        <w:t>,</w:t>
      </w:r>
      <w:r>
        <w:rPr>
          <w:rFonts w:ascii="Arial" w:eastAsia="Arial" w:hAnsi="Arial" w:cs="Arial"/>
          <w:sz w:val="22"/>
          <w:szCs w:val="22"/>
        </w:rPr>
        <w:t xml:space="preserve"> to critically examine how stories shape economic and social outcomes.</w:t>
      </w:r>
    </w:p>
    <w:p w14:paraId="1A626F97" w14:textId="77777777" w:rsidR="00623E03" w:rsidRDefault="00623E03" w:rsidP="00623E03">
      <w:pPr>
        <w:pStyle w:val="Heading2"/>
        <w:jc w:val="left"/>
        <w:rPr>
          <w:rFonts w:ascii="Arial" w:eastAsia="Arial" w:hAnsi="Arial" w:cs="Arial"/>
          <w:color w:val="000000" w:themeColor="text1"/>
        </w:rPr>
      </w:pPr>
    </w:p>
    <w:p w14:paraId="5F3EAF60" w14:textId="0C1EF324" w:rsidR="00623E03" w:rsidRPr="00623E03" w:rsidRDefault="00623E03" w:rsidP="00623E03">
      <w:pPr>
        <w:pStyle w:val="Heading2"/>
        <w:jc w:val="left"/>
        <w:rPr>
          <w:color w:val="000000" w:themeColor="text1"/>
        </w:rPr>
      </w:pPr>
      <w:r w:rsidRPr="00623E03">
        <w:rPr>
          <w:rFonts w:ascii="Arial" w:eastAsia="Arial" w:hAnsi="Arial" w:cs="Arial"/>
          <w:color w:val="000000" w:themeColor="text1"/>
        </w:rPr>
        <w:t>Theoretical Foundations</w:t>
      </w:r>
    </w:p>
    <w:p w14:paraId="02DAF22F" w14:textId="77777777" w:rsidR="00623E03" w:rsidRDefault="00623E03" w:rsidP="00623E03">
      <w:pPr>
        <w:spacing w:before="80" w:after="80"/>
      </w:pPr>
      <w:r>
        <w:rPr>
          <w:rFonts w:ascii="Arial" w:eastAsia="Arial" w:hAnsi="Arial" w:cs="Arial"/>
          <w:sz w:val="22"/>
          <w:szCs w:val="22"/>
        </w:rPr>
        <w:t>A core strand of the module provides the theoretical scaffolding for applied practice:</w:t>
      </w:r>
    </w:p>
    <w:p w14:paraId="2489B5AA"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Classical rhetoric and modern communication theory: Aristotle’s ethos, pathos, and logos; framing theory; agenda-setting; narrative transportation theory</w:t>
      </w:r>
    </w:p>
    <w:p w14:paraId="520B0444"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 xml:space="preserve">Psychology and neurobiology of messages: how narratives activate memory, emotional processing, empathy, and decision-making; </w:t>
      </w:r>
      <w:r w:rsidRPr="000703C0">
        <w:rPr>
          <w:rFonts w:ascii="Arial" w:hAnsi="Arial" w:cs="Arial"/>
          <w:sz w:val="22"/>
          <w:szCs w:val="22"/>
        </w:rPr>
        <w:t>selected findings from cognitive neuroscience relating to attention, memory, empathy, and narrative processing.</w:t>
      </w:r>
    </w:p>
    <w:p w14:paraId="0BAF7674"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Behavioural decision-making: cognitive biases, heuristics, and how audiences process complex or uncertain information</w:t>
      </w:r>
    </w:p>
    <w:p w14:paraId="655FFA22"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Institutional legitimacy and sensemaking: how organisations use narrative to establish credibility and manage meaning</w:t>
      </w:r>
    </w:p>
    <w:p w14:paraId="2E0BDAD2"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Ethics of persuasion: moral psychology, responsible influence, and the theoretical basis for resisting manipulation and greenwashing</w:t>
      </w:r>
    </w:p>
    <w:p w14:paraId="17D6766B" w14:textId="77777777" w:rsidR="00623E03" w:rsidRDefault="00623E03" w:rsidP="00623E03">
      <w:pPr>
        <w:spacing w:after="120"/>
      </w:pPr>
    </w:p>
    <w:p w14:paraId="1989AF54" w14:textId="77777777" w:rsidR="00623E03" w:rsidRPr="00623E03" w:rsidRDefault="00623E03" w:rsidP="00623E03">
      <w:pPr>
        <w:pStyle w:val="Heading2"/>
        <w:jc w:val="left"/>
        <w:rPr>
          <w:color w:val="000000" w:themeColor="text1"/>
        </w:rPr>
      </w:pPr>
      <w:r w:rsidRPr="00623E03">
        <w:rPr>
          <w:rFonts w:ascii="Arial" w:eastAsia="Arial" w:hAnsi="Arial" w:cs="Arial"/>
          <w:color w:val="000000" w:themeColor="text1"/>
        </w:rPr>
        <w:t>Narrative Frameworks for Sustainability Communication</w:t>
      </w:r>
    </w:p>
    <w:p w14:paraId="5217F5CB" w14:textId="77777777" w:rsidR="00623E03" w:rsidRDefault="00623E03" w:rsidP="00623E03">
      <w:pPr>
        <w:spacing w:before="80" w:after="80"/>
        <w:rPr>
          <w:rFonts w:ascii="Arial" w:eastAsia="Arial" w:hAnsi="Arial" w:cs="Arial"/>
          <w:sz w:val="22"/>
          <w:szCs w:val="22"/>
        </w:rPr>
      </w:pPr>
      <w:r>
        <w:rPr>
          <w:rFonts w:ascii="Arial" w:eastAsia="Arial" w:hAnsi="Arial" w:cs="Arial"/>
          <w:sz w:val="22"/>
          <w:szCs w:val="22"/>
        </w:rPr>
        <w:t>Students will be introduced to, and critically apply, a range of established narrative frameworks drawn from communication theory, psychology, and sustainability studies. The table below maps each framework to its theoretical grounding and primary application contexts.</w:t>
      </w:r>
    </w:p>
    <w:p w14:paraId="0EE93162" w14:textId="77777777" w:rsidR="00623E03" w:rsidRDefault="00623E03" w:rsidP="00623E03">
      <w:pPr>
        <w:spacing w:before="80" w:after="80"/>
        <w:rPr>
          <w:rFonts w:ascii="Arial" w:eastAsia="Arial" w:hAnsi="Arial" w:cs="Arial"/>
          <w:sz w:val="22"/>
          <w:szCs w:val="22"/>
        </w:rPr>
      </w:pPr>
    </w:p>
    <w:tbl>
      <w:tblPr>
        <w:tblW w:w="9360" w:type="dxa"/>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10" w:type="dxa"/>
          <w:right w:w="10" w:type="dxa"/>
        </w:tblCellMar>
        <w:tblLook w:val="0000" w:firstRow="0" w:lastRow="0" w:firstColumn="0" w:lastColumn="0" w:noHBand="0" w:noVBand="0"/>
      </w:tblPr>
      <w:tblGrid>
        <w:gridCol w:w="2400"/>
        <w:gridCol w:w="3480"/>
        <w:gridCol w:w="3480"/>
      </w:tblGrid>
      <w:tr w:rsidR="00623E03" w14:paraId="464BC660" w14:textId="77777777" w:rsidTr="00E61B84">
        <w:tblPrEx>
          <w:tblCellMar>
            <w:top w:w="0" w:type="dxa"/>
            <w:bottom w:w="0" w:type="dxa"/>
          </w:tblCellMar>
        </w:tblPrEx>
        <w:tc>
          <w:tcPr>
            <w:tcW w:w="2400" w:type="dxa"/>
            <w:shd w:val="clear" w:color="auto" w:fill="1A5C38"/>
            <w:tcMar>
              <w:top w:w="80" w:type="dxa"/>
              <w:left w:w="120" w:type="dxa"/>
              <w:bottom w:w="80" w:type="dxa"/>
              <w:right w:w="120" w:type="dxa"/>
            </w:tcMar>
          </w:tcPr>
          <w:p w14:paraId="314D4CC6" w14:textId="77777777" w:rsidR="00623E03" w:rsidRDefault="00623E03" w:rsidP="009A5F89">
            <w:r>
              <w:rPr>
                <w:rFonts w:ascii="Arial" w:eastAsia="Arial" w:hAnsi="Arial" w:cs="Arial"/>
                <w:b/>
                <w:bCs/>
                <w:color w:val="FFFFFF"/>
                <w:sz w:val="20"/>
                <w:szCs w:val="20"/>
              </w:rPr>
              <w:t>Framework</w:t>
            </w:r>
          </w:p>
        </w:tc>
        <w:tc>
          <w:tcPr>
            <w:tcW w:w="3480" w:type="dxa"/>
            <w:shd w:val="clear" w:color="auto" w:fill="1A5C38"/>
            <w:tcMar>
              <w:top w:w="80" w:type="dxa"/>
              <w:left w:w="120" w:type="dxa"/>
              <w:bottom w:w="80" w:type="dxa"/>
              <w:right w:w="120" w:type="dxa"/>
            </w:tcMar>
          </w:tcPr>
          <w:p w14:paraId="7D870478" w14:textId="77777777" w:rsidR="00623E03" w:rsidRDefault="00623E03" w:rsidP="009A5F89">
            <w:r>
              <w:rPr>
                <w:rFonts w:ascii="Arial" w:eastAsia="Arial" w:hAnsi="Arial" w:cs="Arial"/>
                <w:b/>
                <w:bCs/>
                <w:color w:val="FFFFFF"/>
                <w:sz w:val="20"/>
                <w:szCs w:val="20"/>
              </w:rPr>
              <w:t>Theoretical Grounding</w:t>
            </w:r>
          </w:p>
        </w:tc>
        <w:tc>
          <w:tcPr>
            <w:tcW w:w="3480" w:type="dxa"/>
            <w:shd w:val="clear" w:color="auto" w:fill="1A5C38"/>
            <w:tcMar>
              <w:top w:w="80" w:type="dxa"/>
              <w:left w:w="120" w:type="dxa"/>
              <w:bottom w:w="80" w:type="dxa"/>
              <w:right w:w="120" w:type="dxa"/>
            </w:tcMar>
          </w:tcPr>
          <w:p w14:paraId="3FC366CE" w14:textId="77777777" w:rsidR="00623E03" w:rsidRDefault="00623E03" w:rsidP="009A5F89">
            <w:r>
              <w:rPr>
                <w:rFonts w:ascii="Arial" w:eastAsia="Arial" w:hAnsi="Arial" w:cs="Arial"/>
                <w:b/>
                <w:bCs/>
                <w:color w:val="FFFFFF"/>
                <w:sz w:val="20"/>
                <w:szCs w:val="20"/>
              </w:rPr>
              <w:t>Primary Sustainability Contexts</w:t>
            </w:r>
          </w:p>
        </w:tc>
      </w:tr>
      <w:tr w:rsidR="00623E03" w14:paraId="4ABDBF76" w14:textId="77777777" w:rsidTr="00E61B84">
        <w:tblPrEx>
          <w:tblCellMar>
            <w:top w:w="0" w:type="dxa"/>
            <w:bottom w:w="0" w:type="dxa"/>
          </w:tblCellMar>
        </w:tblPrEx>
        <w:tc>
          <w:tcPr>
            <w:tcW w:w="2400" w:type="dxa"/>
            <w:shd w:val="clear" w:color="auto" w:fill="E8F5EE"/>
            <w:tcMar>
              <w:top w:w="80" w:type="dxa"/>
              <w:left w:w="120" w:type="dxa"/>
              <w:bottom w:w="80" w:type="dxa"/>
              <w:right w:w="120" w:type="dxa"/>
            </w:tcMar>
          </w:tcPr>
          <w:p w14:paraId="64062D09" w14:textId="77777777" w:rsidR="00623E03" w:rsidRPr="00E61B84" w:rsidRDefault="00623E03" w:rsidP="009A5F89">
            <w:pPr>
              <w:rPr>
                <w:color w:val="000000" w:themeColor="text1"/>
              </w:rPr>
            </w:pPr>
            <w:r w:rsidRPr="00E61B84">
              <w:rPr>
                <w:rFonts w:ascii="Arial" w:eastAsia="Arial" w:hAnsi="Arial" w:cs="Arial"/>
                <w:b/>
                <w:bCs/>
                <w:color w:val="000000" w:themeColor="text1"/>
                <w:sz w:val="20"/>
                <w:szCs w:val="20"/>
              </w:rPr>
              <w:t>Problem–Solution–Impact</w:t>
            </w:r>
          </w:p>
        </w:tc>
        <w:tc>
          <w:tcPr>
            <w:tcW w:w="3480" w:type="dxa"/>
            <w:shd w:val="clear" w:color="auto" w:fill="E8F5EE"/>
            <w:tcMar>
              <w:top w:w="80" w:type="dxa"/>
              <w:left w:w="120" w:type="dxa"/>
              <w:bottom w:w="80" w:type="dxa"/>
              <w:right w:w="120" w:type="dxa"/>
            </w:tcMar>
          </w:tcPr>
          <w:p w14:paraId="5BFA9C24" w14:textId="77777777" w:rsidR="00623E03" w:rsidRDefault="00623E03" w:rsidP="009A5F89">
            <w:r>
              <w:rPr>
                <w:rFonts w:ascii="Arial" w:eastAsia="Arial" w:hAnsi="Arial" w:cs="Arial"/>
                <w:sz w:val="20"/>
                <w:szCs w:val="20"/>
              </w:rPr>
              <w:t>Policy communication, persuasion theory, logic-based rhetoric (logos)</w:t>
            </w:r>
          </w:p>
        </w:tc>
        <w:tc>
          <w:tcPr>
            <w:tcW w:w="3480" w:type="dxa"/>
            <w:shd w:val="clear" w:color="auto" w:fill="E8F5EE"/>
            <w:tcMar>
              <w:top w:w="80" w:type="dxa"/>
              <w:left w:w="120" w:type="dxa"/>
              <w:bottom w:w="80" w:type="dxa"/>
              <w:right w:w="120" w:type="dxa"/>
            </w:tcMar>
          </w:tcPr>
          <w:p w14:paraId="3845042B" w14:textId="77777777" w:rsidR="00623E03" w:rsidRDefault="00623E03" w:rsidP="009A5F89">
            <w:r>
              <w:rPr>
                <w:rFonts w:ascii="Arial" w:eastAsia="Arial" w:hAnsi="Arial" w:cs="Arial"/>
                <w:sz w:val="20"/>
                <w:szCs w:val="20"/>
              </w:rPr>
              <w:t>ESG reporting, impact investment pitches, policy advocacy, NGO communication</w:t>
            </w:r>
          </w:p>
        </w:tc>
      </w:tr>
      <w:tr w:rsidR="00623E03" w14:paraId="3708F7E8" w14:textId="77777777" w:rsidTr="00E61B84">
        <w:tblPrEx>
          <w:tblCellMar>
            <w:top w:w="0" w:type="dxa"/>
            <w:bottom w:w="0" w:type="dxa"/>
          </w:tblCellMar>
        </w:tblPrEx>
        <w:tc>
          <w:tcPr>
            <w:tcW w:w="2400" w:type="dxa"/>
            <w:shd w:val="clear" w:color="auto" w:fill="FFFFFF"/>
            <w:tcMar>
              <w:top w:w="80" w:type="dxa"/>
              <w:left w:w="120" w:type="dxa"/>
              <w:bottom w:w="80" w:type="dxa"/>
              <w:right w:w="120" w:type="dxa"/>
            </w:tcMar>
          </w:tcPr>
          <w:p w14:paraId="6C66E389" w14:textId="77777777" w:rsidR="00623E03" w:rsidRPr="00E61B84" w:rsidRDefault="00623E03" w:rsidP="009A5F89">
            <w:pPr>
              <w:rPr>
                <w:color w:val="000000" w:themeColor="text1"/>
              </w:rPr>
            </w:pPr>
            <w:r w:rsidRPr="00E61B84">
              <w:rPr>
                <w:rFonts w:ascii="Arial" w:eastAsia="Arial" w:hAnsi="Arial" w:cs="Arial"/>
                <w:b/>
                <w:bCs/>
                <w:color w:val="000000" w:themeColor="text1"/>
                <w:sz w:val="20"/>
                <w:szCs w:val="20"/>
              </w:rPr>
              <w:t>Systems Change Narrative</w:t>
            </w:r>
          </w:p>
        </w:tc>
        <w:tc>
          <w:tcPr>
            <w:tcW w:w="3480" w:type="dxa"/>
            <w:shd w:val="clear" w:color="auto" w:fill="FFFFFF"/>
            <w:tcMar>
              <w:top w:w="80" w:type="dxa"/>
              <w:left w:w="120" w:type="dxa"/>
              <w:bottom w:w="80" w:type="dxa"/>
              <w:right w:w="120" w:type="dxa"/>
            </w:tcMar>
          </w:tcPr>
          <w:p w14:paraId="4233FE86" w14:textId="77777777" w:rsidR="00623E03" w:rsidRDefault="00623E03" w:rsidP="009A5F89">
            <w:r>
              <w:rPr>
                <w:rFonts w:ascii="Arial" w:eastAsia="Arial" w:hAnsi="Arial" w:cs="Arial"/>
                <w:sz w:val="20"/>
                <w:szCs w:val="20"/>
              </w:rPr>
              <w:t>Systems theory (Meadows), sustainability transitions, institutional change</w:t>
            </w:r>
          </w:p>
        </w:tc>
        <w:tc>
          <w:tcPr>
            <w:tcW w:w="3480" w:type="dxa"/>
            <w:shd w:val="clear" w:color="auto" w:fill="FFFFFF"/>
            <w:tcMar>
              <w:top w:w="80" w:type="dxa"/>
              <w:left w:w="120" w:type="dxa"/>
              <w:bottom w:w="80" w:type="dxa"/>
              <w:right w:w="120" w:type="dxa"/>
            </w:tcMar>
          </w:tcPr>
          <w:p w14:paraId="5FB828FA" w14:textId="77777777" w:rsidR="00623E03" w:rsidRDefault="00623E03" w:rsidP="009A5F89">
            <w:r>
              <w:rPr>
                <w:rFonts w:ascii="Arial" w:eastAsia="Arial" w:hAnsi="Arial" w:cs="Arial"/>
                <w:sz w:val="20"/>
                <w:szCs w:val="20"/>
              </w:rPr>
              <w:t>Climate transition strategies, circular economy, regenerative business models</w:t>
            </w:r>
          </w:p>
        </w:tc>
      </w:tr>
      <w:tr w:rsidR="00623E03" w14:paraId="2B58008B" w14:textId="77777777" w:rsidTr="00E61B84">
        <w:tblPrEx>
          <w:tblCellMar>
            <w:top w:w="0" w:type="dxa"/>
            <w:bottom w:w="0" w:type="dxa"/>
          </w:tblCellMar>
        </w:tblPrEx>
        <w:tc>
          <w:tcPr>
            <w:tcW w:w="2400" w:type="dxa"/>
            <w:shd w:val="clear" w:color="auto" w:fill="E8F5EE"/>
            <w:tcMar>
              <w:top w:w="80" w:type="dxa"/>
              <w:left w:w="120" w:type="dxa"/>
              <w:bottom w:w="80" w:type="dxa"/>
              <w:right w:w="120" w:type="dxa"/>
            </w:tcMar>
          </w:tcPr>
          <w:p w14:paraId="6E1B4723" w14:textId="77777777" w:rsidR="00623E03" w:rsidRPr="00E61B84" w:rsidRDefault="00623E03" w:rsidP="009A5F89">
            <w:pPr>
              <w:rPr>
                <w:color w:val="000000" w:themeColor="text1"/>
              </w:rPr>
            </w:pPr>
            <w:r w:rsidRPr="00E61B84">
              <w:rPr>
                <w:rFonts w:ascii="Arial" w:eastAsia="Arial" w:hAnsi="Arial" w:cs="Arial"/>
                <w:b/>
                <w:bCs/>
                <w:color w:val="000000" w:themeColor="text1"/>
                <w:sz w:val="20"/>
                <w:szCs w:val="20"/>
              </w:rPr>
              <w:lastRenderedPageBreak/>
              <w:t>Stakeholder-Centred Narrative</w:t>
            </w:r>
          </w:p>
        </w:tc>
        <w:tc>
          <w:tcPr>
            <w:tcW w:w="3480" w:type="dxa"/>
            <w:shd w:val="clear" w:color="auto" w:fill="E8F5EE"/>
            <w:tcMar>
              <w:top w:w="80" w:type="dxa"/>
              <w:left w:w="120" w:type="dxa"/>
              <w:bottom w:w="80" w:type="dxa"/>
              <w:right w:w="120" w:type="dxa"/>
            </w:tcMar>
          </w:tcPr>
          <w:p w14:paraId="2784EAF9" w14:textId="77777777" w:rsidR="00623E03" w:rsidRDefault="00623E03" w:rsidP="009A5F89">
            <w:r>
              <w:rPr>
                <w:rFonts w:ascii="Arial" w:eastAsia="Arial" w:hAnsi="Arial" w:cs="Arial"/>
                <w:sz w:val="20"/>
                <w:szCs w:val="20"/>
              </w:rPr>
              <w:t>Stakeholder theory, behavioural economics, audience analysis</w:t>
            </w:r>
          </w:p>
        </w:tc>
        <w:tc>
          <w:tcPr>
            <w:tcW w:w="3480" w:type="dxa"/>
            <w:shd w:val="clear" w:color="auto" w:fill="E8F5EE"/>
            <w:tcMar>
              <w:top w:w="80" w:type="dxa"/>
              <w:left w:w="120" w:type="dxa"/>
              <w:bottom w:w="80" w:type="dxa"/>
              <w:right w:w="120" w:type="dxa"/>
            </w:tcMar>
          </w:tcPr>
          <w:p w14:paraId="31372375" w14:textId="77777777" w:rsidR="00623E03" w:rsidRDefault="00623E03" w:rsidP="009A5F89">
            <w:r>
              <w:rPr>
                <w:rFonts w:ascii="Arial" w:eastAsia="Arial" w:hAnsi="Arial" w:cs="Arial"/>
                <w:sz w:val="20"/>
                <w:szCs w:val="20"/>
              </w:rPr>
              <w:t>Investor vs community messaging, internal change, public–private partnerships</w:t>
            </w:r>
          </w:p>
        </w:tc>
      </w:tr>
      <w:tr w:rsidR="00623E03" w14:paraId="7A7CF07A" w14:textId="77777777" w:rsidTr="00E61B84">
        <w:tblPrEx>
          <w:tblCellMar>
            <w:top w:w="0" w:type="dxa"/>
            <w:bottom w:w="0" w:type="dxa"/>
          </w:tblCellMar>
        </w:tblPrEx>
        <w:tc>
          <w:tcPr>
            <w:tcW w:w="2400" w:type="dxa"/>
            <w:shd w:val="clear" w:color="auto" w:fill="FFFFFF"/>
            <w:tcMar>
              <w:top w:w="80" w:type="dxa"/>
              <w:left w:w="120" w:type="dxa"/>
              <w:bottom w:w="80" w:type="dxa"/>
              <w:right w:w="120" w:type="dxa"/>
            </w:tcMar>
          </w:tcPr>
          <w:p w14:paraId="6A19A172" w14:textId="77777777" w:rsidR="00623E03" w:rsidRPr="00E61B84" w:rsidRDefault="00623E03" w:rsidP="009A5F89">
            <w:pPr>
              <w:rPr>
                <w:color w:val="000000" w:themeColor="text1"/>
              </w:rPr>
            </w:pPr>
            <w:r w:rsidRPr="00E61B84">
              <w:rPr>
                <w:rFonts w:ascii="Arial" w:eastAsia="Arial" w:hAnsi="Arial" w:cs="Arial"/>
                <w:b/>
                <w:bCs/>
                <w:color w:val="000000" w:themeColor="text1"/>
                <w:sz w:val="20"/>
                <w:szCs w:val="20"/>
              </w:rPr>
              <w:t>Theory of Change Narrative</w:t>
            </w:r>
          </w:p>
        </w:tc>
        <w:tc>
          <w:tcPr>
            <w:tcW w:w="3480" w:type="dxa"/>
            <w:shd w:val="clear" w:color="auto" w:fill="FFFFFF"/>
            <w:tcMar>
              <w:top w:w="80" w:type="dxa"/>
              <w:left w:w="120" w:type="dxa"/>
              <w:bottom w:w="80" w:type="dxa"/>
              <w:right w:w="120" w:type="dxa"/>
            </w:tcMar>
          </w:tcPr>
          <w:p w14:paraId="74538128" w14:textId="77777777" w:rsidR="00623E03" w:rsidRDefault="00623E03" w:rsidP="009A5F89">
            <w:r>
              <w:rPr>
                <w:rFonts w:ascii="Arial" w:eastAsia="Arial" w:hAnsi="Arial" w:cs="Arial"/>
                <w:sz w:val="20"/>
                <w:szCs w:val="20"/>
              </w:rPr>
              <w:t>Programme theory, logic models, impact measurement</w:t>
            </w:r>
          </w:p>
        </w:tc>
        <w:tc>
          <w:tcPr>
            <w:tcW w:w="3480" w:type="dxa"/>
            <w:shd w:val="clear" w:color="auto" w:fill="FFFFFF"/>
            <w:tcMar>
              <w:top w:w="80" w:type="dxa"/>
              <w:left w:w="120" w:type="dxa"/>
              <w:bottom w:w="80" w:type="dxa"/>
              <w:right w:w="120" w:type="dxa"/>
            </w:tcMar>
          </w:tcPr>
          <w:p w14:paraId="428EC734" w14:textId="77777777" w:rsidR="00623E03" w:rsidRDefault="00623E03" w:rsidP="009A5F89">
            <w:r>
              <w:rPr>
                <w:rFonts w:ascii="Arial" w:eastAsia="Arial" w:hAnsi="Arial" w:cs="Arial"/>
                <w:sz w:val="20"/>
                <w:szCs w:val="20"/>
              </w:rPr>
              <w:t>Funder communication, policymaker engagement, social enterprise reporting</w:t>
            </w:r>
          </w:p>
        </w:tc>
      </w:tr>
      <w:tr w:rsidR="00623E03" w14:paraId="03F0AD0F" w14:textId="77777777" w:rsidTr="00E61B84">
        <w:tblPrEx>
          <w:tblCellMar>
            <w:top w:w="0" w:type="dxa"/>
            <w:bottom w:w="0" w:type="dxa"/>
          </w:tblCellMar>
        </w:tblPrEx>
        <w:tc>
          <w:tcPr>
            <w:tcW w:w="2400" w:type="dxa"/>
            <w:shd w:val="clear" w:color="auto" w:fill="E8F5EE"/>
            <w:tcMar>
              <w:top w:w="80" w:type="dxa"/>
              <w:left w:w="120" w:type="dxa"/>
              <w:bottom w:w="80" w:type="dxa"/>
              <w:right w:w="120" w:type="dxa"/>
            </w:tcMar>
          </w:tcPr>
          <w:p w14:paraId="26226950" w14:textId="77777777" w:rsidR="00623E03" w:rsidRPr="00E61B84" w:rsidRDefault="00623E03" w:rsidP="009A5F89">
            <w:pPr>
              <w:rPr>
                <w:color w:val="000000" w:themeColor="text1"/>
              </w:rPr>
            </w:pPr>
            <w:r w:rsidRPr="00E61B84">
              <w:rPr>
                <w:rFonts w:ascii="Arial" w:eastAsia="Arial" w:hAnsi="Arial" w:cs="Arial"/>
                <w:b/>
                <w:bCs/>
                <w:color w:val="000000" w:themeColor="text1"/>
                <w:sz w:val="20"/>
                <w:szCs w:val="20"/>
              </w:rPr>
              <w:t>Journey &amp; Change Narrative</w:t>
            </w:r>
          </w:p>
        </w:tc>
        <w:tc>
          <w:tcPr>
            <w:tcW w:w="3480" w:type="dxa"/>
            <w:shd w:val="clear" w:color="auto" w:fill="E8F5EE"/>
            <w:tcMar>
              <w:top w:w="80" w:type="dxa"/>
              <w:left w:w="120" w:type="dxa"/>
              <w:bottom w:w="80" w:type="dxa"/>
              <w:right w:w="120" w:type="dxa"/>
            </w:tcMar>
          </w:tcPr>
          <w:p w14:paraId="112EF89C" w14:textId="77777777" w:rsidR="00623E03" w:rsidRDefault="00623E03" w:rsidP="009A5F89">
            <w:r>
              <w:rPr>
                <w:rFonts w:ascii="Arial" w:eastAsia="Arial" w:hAnsi="Arial" w:cs="Arial"/>
                <w:sz w:val="20"/>
                <w:szCs w:val="20"/>
              </w:rPr>
              <w:t>Narrative psychology, organisational sensemaking, identity construction</w:t>
            </w:r>
          </w:p>
        </w:tc>
        <w:tc>
          <w:tcPr>
            <w:tcW w:w="3480" w:type="dxa"/>
            <w:shd w:val="clear" w:color="auto" w:fill="E8F5EE"/>
            <w:tcMar>
              <w:top w:w="80" w:type="dxa"/>
              <w:left w:w="120" w:type="dxa"/>
              <w:bottom w:w="80" w:type="dxa"/>
              <w:right w:w="120" w:type="dxa"/>
            </w:tcMar>
          </w:tcPr>
          <w:p w14:paraId="52042448" w14:textId="77777777" w:rsidR="00623E03" w:rsidRDefault="00623E03" w:rsidP="009A5F89">
            <w:r>
              <w:rPr>
                <w:rFonts w:ascii="Arial" w:eastAsia="Arial" w:hAnsi="Arial" w:cs="Arial"/>
                <w:sz w:val="20"/>
                <w:szCs w:val="20"/>
              </w:rPr>
              <w:t>Corporate sustainability transformations, founder narratives, just transition storytelling</w:t>
            </w:r>
          </w:p>
        </w:tc>
      </w:tr>
      <w:tr w:rsidR="00623E03" w14:paraId="51874B02" w14:textId="77777777" w:rsidTr="00E61B84">
        <w:tblPrEx>
          <w:tblCellMar>
            <w:top w:w="0" w:type="dxa"/>
            <w:bottom w:w="0" w:type="dxa"/>
          </w:tblCellMar>
        </w:tblPrEx>
        <w:tc>
          <w:tcPr>
            <w:tcW w:w="2400" w:type="dxa"/>
            <w:shd w:val="clear" w:color="auto" w:fill="FFFFFF"/>
            <w:tcMar>
              <w:top w:w="80" w:type="dxa"/>
              <w:left w:w="120" w:type="dxa"/>
              <w:bottom w:w="80" w:type="dxa"/>
              <w:right w:w="120" w:type="dxa"/>
            </w:tcMar>
          </w:tcPr>
          <w:p w14:paraId="432BD631" w14:textId="77777777" w:rsidR="00623E03" w:rsidRPr="00E61B84" w:rsidRDefault="00623E03" w:rsidP="009A5F89">
            <w:pPr>
              <w:rPr>
                <w:color w:val="000000" w:themeColor="text1"/>
              </w:rPr>
            </w:pPr>
            <w:r w:rsidRPr="00E61B84">
              <w:rPr>
                <w:rFonts w:ascii="Arial" w:eastAsia="Arial" w:hAnsi="Arial" w:cs="Arial"/>
                <w:b/>
                <w:bCs/>
                <w:color w:val="000000" w:themeColor="text1"/>
                <w:sz w:val="20"/>
                <w:szCs w:val="20"/>
              </w:rPr>
              <w:t>Blended Value Narrative</w:t>
            </w:r>
          </w:p>
        </w:tc>
        <w:tc>
          <w:tcPr>
            <w:tcW w:w="3480" w:type="dxa"/>
            <w:shd w:val="clear" w:color="auto" w:fill="FFFFFF"/>
            <w:tcMar>
              <w:top w:w="80" w:type="dxa"/>
              <w:left w:w="120" w:type="dxa"/>
              <w:bottom w:w="80" w:type="dxa"/>
              <w:right w:w="120" w:type="dxa"/>
            </w:tcMar>
          </w:tcPr>
          <w:p w14:paraId="03C4E30E" w14:textId="77777777" w:rsidR="00623E03" w:rsidRDefault="00623E03" w:rsidP="009A5F89">
            <w:r>
              <w:rPr>
                <w:rFonts w:ascii="Arial" w:eastAsia="Arial" w:hAnsi="Arial" w:cs="Arial"/>
                <w:sz w:val="20"/>
                <w:szCs w:val="20"/>
              </w:rPr>
              <w:t>Blended value theory, impact measurement, integrated reporting</w:t>
            </w:r>
          </w:p>
        </w:tc>
        <w:tc>
          <w:tcPr>
            <w:tcW w:w="3480" w:type="dxa"/>
            <w:shd w:val="clear" w:color="auto" w:fill="FFFFFF"/>
            <w:tcMar>
              <w:top w:w="80" w:type="dxa"/>
              <w:left w:w="120" w:type="dxa"/>
              <w:bottom w:w="80" w:type="dxa"/>
              <w:right w:w="120" w:type="dxa"/>
            </w:tcMar>
          </w:tcPr>
          <w:p w14:paraId="33474DFA" w14:textId="77777777" w:rsidR="00623E03" w:rsidRDefault="00623E03" w:rsidP="009A5F89">
            <w:r>
              <w:rPr>
                <w:rFonts w:ascii="Arial" w:eastAsia="Arial" w:hAnsi="Arial" w:cs="Arial"/>
                <w:sz w:val="20"/>
                <w:szCs w:val="20"/>
              </w:rPr>
              <w:t>Social enterprise pitches, impact investment, hybrid organisational models</w:t>
            </w:r>
          </w:p>
        </w:tc>
      </w:tr>
      <w:tr w:rsidR="00623E03" w14:paraId="7759954F" w14:textId="77777777" w:rsidTr="00E61B84">
        <w:tblPrEx>
          <w:tblCellMar>
            <w:top w:w="0" w:type="dxa"/>
            <w:bottom w:w="0" w:type="dxa"/>
          </w:tblCellMar>
        </w:tblPrEx>
        <w:tc>
          <w:tcPr>
            <w:tcW w:w="2400" w:type="dxa"/>
            <w:shd w:val="clear" w:color="auto" w:fill="E8F5EE"/>
            <w:tcMar>
              <w:top w:w="80" w:type="dxa"/>
              <w:left w:w="120" w:type="dxa"/>
              <w:bottom w:w="80" w:type="dxa"/>
              <w:right w:w="120" w:type="dxa"/>
            </w:tcMar>
          </w:tcPr>
          <w:p w14:paraId="4E5567BD" w14:textId="77777777" w:rsidR="00623E03" w:rsidRPr="00E61B84" w:rsidRDefault="00623E03" w:rsidP="009A5F89">
            <w:pPr>
              <w:rPr>
                <w:color w:val="000000" w:themeColor="text1"/>
              </w:rPr>
            </w:pPr>
            <w:r w:rsidRPr="00E61B84">
              <w:rPr>
                <w:rFonts w:ascii="Arial" w:eastAsia="Arial" w:hAnsi="Arial" w:cs="Arial"/>
                <w:b/>
                <w:bCs/>
                <w:color w:val="000000" w:themeColor="text1"/>
                <w:sz w:val="20"/>
                <w:szCs w:val="20"/>
              </w:rPr>
              <w:t>Ethical Trade-off Narrative</w:t>
            </w:r>
          </w:p>
        </w:tc>
        <w:tc>
          <w:tcPr>
            <w:tcW w:w="3480" w:type="dxa"/>
            <w:shd w:val="clear" w:color="auto" w:fill="E8F5EE"/>
            <w:tcMar>
              <w:top w:w="80" w:type="dxa"/>
              <w:left w:w="120" w:type="dxa"/>
              <w:bottom w:w="80" w:type="dxa"/>
              <w:right w:w="120" w:type="dxa"/>
            </w:tcMar>
          </w:tcPr>
          <w:p w14:paraId="3D799999" w14:textId="77777777" w:rsidR="00623E03" w:rsidRDefault="00623E03" w:rsidP="009A5F89">
            <w:r>
              <w:rPr>
                <w:rFonts w:ascii="Arial" w:eastAsia="Arial" w:hAnsi="Arial" w:cs="Arial"/>
                <w:sz w:val="20"/>
                <w:szCs w:val="20"/>
              </w:rPr>
              <w:t>Ethics of persuasion, moral psychology, responsible leadership</w:t>
            </w:r>
          </w:p>
        </w:tc>
        <w:tc>
          <w:tcPr>
            <w:tcW w:w="3480" w:type="dxa"/>
            <w:shd w:val="clear" w:color="auto" w:fill="E8F5EE"/>
            <w:tcMar>
              <w:top w:w="80" w:type="dxa"/>
              <w:left w:w="120" w:type="dxa"/>
              <w:bottom w:w="80" w:type="dxa"/>
              <w:right w:w="120" w:type="dxa"/>
            </w:tcMar>
          </w:tcPr>
          <w:p w14:paraId="7D06578C" w14:textId="77777777" w:rsidR="00623E03" w:rsidRDefault="00623E03" w:rsidP="009A5F89">
            <w:r>
              <w:rPr>
                <w:rFonts w:ascii="Arial" w:eastAsia="Arial" w:hAnsi="Arial" w:cs="Arial"/>
                <w:sz w:val="20"/>
                <w:szCs w:val="20"/>
              </w:rPr>
              <w:t>Resource allocation decisions, transition risks, justice concerns, regulatory debates</w:t>
            </w:r>
          </w:p>
        </w:tc>
      </w:tr>
      <w:tr w:rsidR="00623E03" w14:paraId="1522922B" w14:textId="77777777" w:rsidTr="00E61B84">
        <w:tblPrEx>
          <w:tblCellMar>
            <w:top w:w="0" w:type="dxa"/>
            <w:bottom w:w="0" w:type="dxa"/>
          </w:tblCellMar>
        </w:tblPrEx>
        <w:tc>
          <w:tcPr>
            <w:tcW w:w="2400" w:type="dxa"/>
            <w:shd w:val="clear" w:color="auto" w:fill="FFFFFF"/>
            <w:tcMar>
              <w:top w:w="80" w:type="dxa"/>
              <w:left w:w="120" w:type="dxa"/>
              <w:bottom w:w="80" w:type="dxa"/>
              <w:right w:w="120" w:type="dxa"/>
            </w:tcMar>
          </w:tcPr>
          <w:p w14:paraId="42C1F6DA" w14:textId="77777777" w:rsidR="00623E03" w:rsidRPr="00E61B84" w:rsidRDefault="00623E03" w:rsidP="009A5F89">
            <w:pPr>
              <w:rPr>
                <w:color w:val="000000" w:themeColor="text1"/>
              </w:rPr>
            </w:pPr>
            <w:r w:rsidRPr="00E61B84">
              <w:rPr>
                <w:rFonts w:ascii="Arial" w:eastAsia="Arial" w:hAnsi="Arial" w:cs="Arial"/>
                <w:b/>
                <w:bCs/>
                <w:color w:val="000000" w:themeColor="text1"/>
                <w:sz w:val="20"/>
                <w:szCs w:val="20"/>
              </w:rPr>
              <w:t>Golden Circle (Why–How–What)</w:t>
            </w:r>
          </w:p>
        </w:tc>
        <w:tc>
          <w:tcPr>
            <w:tcW w:w="3480" w:type="dxa"/>
            <w:shd w:val="clear" w:color="auto" w:fill="FFFFFF"/>
            <w:tcMar>
              <w:top w:w="80" w:type="dxa"/>
              <w:left w:w="120" w:type="dxa"/>
              <w:bottom w:w="80" w:type="dxa"/>
              <w:right w:w="120" w:type="dxa"/>
            </w:tcMar>
          </w:tcPr>
          <w:p w14:paraId="2627EC7A" w14:textId="77777777" w:rsidR="00623E03" w:rsidRDefault="00623E03" w:rsidP="009A5F89">
            <w:r>
              <w:rPr>
                <w:rFonts w:ascii="Arial" w:eastAsia="Arial" w:hAnsi="Arial" w:cs="Arial"/>
                <w:sz w:val="20"/>
                <w:szCs w:val="20"/>
              </w:rPr>
              <w:t>Purpose-driven leadership (Sinek), organisational identity</w:t>
            </w:r>
          </w:p>
        </w:tc>
        <w:tc>
          <w:tcPr>
            <w:tcW w:w="3480" w:type="dxa"/>
            <w:shd w:val="clear" w:color="auto" w:fill="FFFFFF"/>
            <w:tcMar>
              <w:top w:w="80" w:type="dxa"/>
              <w:left w:w="120" w:type="dxa"/>
              <w:bottom w:w="80" w:type="dxa"/>
              <w:right w:w="120" w:type="dxa"/>
            </w:tcMar>
          </w:tcPr>
          <w:p w14:paraId="64A7D1A5" w14:textId="77777777" w:rsidR="00623E03" w:rsidRDefault="00623E03" w:rsidP="009A5F89">
            <w:r>
              <w:rPr>
                <w:rFonts w:ascii="Arial" w:eastAsia="Arial" w:hAnsi="Arial" w:cs="Arial"/>
                <w:sz w:val="20"/>
                <w:szCs w:val="20"/>
              </w:rPr>
              <w:t>Communicating mission, authenticity, and values-led strategy</w:t>
            </w:r>
          </w:p>
        </w:tc>
      </w:tr>
      <w:tr w:rsidR="00623E03" w14:paraId="02131797" w14:textId="77777777" w:rsidTr="00E61B84">
        <w:tblPrEx>
          <w:tblCellMar>
            <w:top w:w="0" w:type="dxa"/>
            <w:bottom w:w="0" w:type="dxa"/>
          </w:tblCellMar>
        </w:tblPrEx>
        <w:tc>
          <w:tcPr>
            <w:tcW w:w="2400" w:type="dxa"/>
            <w:shd w:val="clear" w:color="auto" w:fill="E8F5EE"/>
            <w:tcMar>
              <w:top w:w="80" w:type="dxa"/>
              <w:left w:w="120" w:type="dxa"/>
              <w:bottom w:w="80" w:type="dxa"/>
              <w:right w:w="120" w:type="dxa"/>
            </w:tcMar>
          </w:tcPr>
          <w:p w14:paraId="6A4E2C52" w14:textId="77777777" w:rsidR="00623E03" w:rsidRPr="00E61B84" w:rsidRDefault="00623E03" w:rsidP="009A5F89">
            <w:pPr>
              <w:rPr>
                <w:color w:val="000000" w:themeColor="text1"/>
              </w:rPr>
            </w:pPr>
            <w:r w:rsidRPr="00E61B84">
              <w:rPr>
                <w:rFonts w:ascii="Arial" w:eastAsia="Arial" w:hAnsi="Arial" w:cs="Arial"/>
                <w:b/>
                <w:bCs/>
                <w:color w:val="000000" w:themeColor="text1"/>
                <w:sz w:val="20"/>
                <w:szCs w:val="20"/>
              </w:rPr>
              <w:t>Data–Story–Action</w:t>
            </w:r>
          </w:p>
        </w:tc>
        <w:tc>
          <w:tcPr>
            <w:tcW w:w="3480" w:type="dxa"/>
            <w:shd w:val="clear" w:color="auto" w:fill="E8F5EE"/>
            <w:tcMar>
              <w:top w:w="80" w:type="dxa"/>
              <w:left w:w="120" w:type="dxa"/>
              <w:bottom w:w="80" w:type="dxa"/>
              <w:right w:w="120" w:type="dxa"/>
            </w:tcMar>
          </w:tcPr>
          <w:p w14:paraId="5407488A" w14:textId="77777777" w:rsidR="00623E03" w:rsidRDefault="00623E03" w:rsidP="009A5F89">
            <w:r>
              <w:rPr>
                <w:rFonts w:ascii="Arial" w:eastAsia="Arial" w:hAnsi="Arial" w:cs="Arial"/>
                <w:sz w:val="20"/>
                <w:szCs w:val="20"/>
              </w:rPr>
              <w:t>Solutions journalism, evidence-based communication</w:t>
            </w:r>
          </w:p>
        </w:tc>
        <w:tc>
          <w:tcPr>
            <w:tcW w:w="3480" w:type="dxa"/>
            <w:shd w:val="clear" w:color="auto" w:fill="E8F5EE"/>
            <w:tcMar>
              <w:top w:w="80" w:type="dxa"/>
              <w:left w:w="120" w:type="dxa"/>
              <w:bottom w:w="80" w:type="dxa"/>
              <w:right w:w="120" w:type="dxa"/>
            </w:tcMar>
          </w:tcPr>
          <w:p w14:paraId="3676AE8D" w14:textId="77777777" w:rsidR="00623E03" w:rsidRDefault="00623E03" w:rsidP="009A5F89">
            <w:r>
              <w:rPr>
                <w:rFonts w:ascii="Arial" w:eastAsia="Arial" w:hAnsi="Arial" w:cs="Arial"/>
                <w:sz w:val="20"/>
                <w:szCs w:val="20"/>
              </w:rPr>
              <w:t>Balancing analytical rigour with emotional resonance across all contexts</w:t>
            </w:r>
          </w:p>
        </w:tc>
      </w:tr>
      <w:tr w:rsidR="00623E03" w14:paraId="6A913B99" w14:textId="77777777" w:rsidTr="00E61B84">
        <w:tblPrEx>
          <w:tblCellMar>
            <w:top w:w="0" w:type="dxa"/>
            <w:bottom w:w="0" w:type="dxa"/>
          </w:tblCellMar>
        </w:tblPrEx>
        <w:tc>
          <w:tcPr>
            <w:tcW w:w="2400" w:type="dxa"/>
            <w:shd w:val="clear" w:color="auto" w:fill="FFFFFF"/>
            <w:tcMar>
              <w:top w:w="80" w:type="dxa"/>
              <w:left w:w="120" w:type="dxa"/>
              <w:bottom w:w="80" w:type="dxa"/>
              <w:right w:w="120" w:type="dxa"/>
            </w:tcMar>
          </w:tcPr>
          <w:p w14:paraId="317CB075" w14:textId="77777777" w:rsidR="00623E03" w:rsidRPr="00E61B84" w:rsidRDefault="00623E03" w:rsidP="009A5F89">
            <w:pPr>
              <w:rPr>
                <w:color w:val="000000" w:themeColor="text1"/>
              </w:rPr>
            </w:pPr>
            <w:r w:rsidRPr="00E61B84">
              <w:rPr>
                <w:rFonts w:ascii="Arial" w:eastAsia="Arial" w:hAnsi="Arial" w:cs="Arial"/>
                <w:b/>
                <w:bCs/>
                <w:color w:val="000000" w:themeColor="text1"/>
                <w:sz w:val="20"/>
                <w:szCs w:val="20"/>
              </w:rPr>
              <w:t>Futures Scenario Narratives</w:t>
            </w:r>
          </w:p>
        </w:tc>
        <w:tc>
          <w:tcPr>
            <w:tcW w:w="3480" w:type="dxa"/>
            <w:shd w:val="clear" w:color="auto" w:fill="FFFFFF"/>
            <w:tcMar>
              <w:top w:w="80" w:type="dxa"/>
              <w:left w:w="120" w:type="dxa"/>
              <w:bottom w:w="80" w:type="dxa"/>
              <w:right w:w="120" w:type="dxa"/>
            </w:tcMar>
          </w:tcPr>
          <w:p w14:paraId="178A3F9E" w14:textId="77777777" w:rsidR="00623E03" w:rsidRDefault="00623E03" w:rsidP="009A5F89">
            <w:r>
              <w:rPr>
                <w:rFonts w:ascii="Arial" w:eastAsia="Arial" w:hAnsi="Arial" w:cs="Arial"/>
                <w:sz w:val="20"/>
                <w:szCs w:val="20"/>
              </w:rPr>
              <w:t>Scenario planning, strategic foresight, sustainability transitions</w:t>
            </w:r>
          </w:p>
        </w:tc>
        <w:tc>
          <w:tcPr>
            <w:tcW w:w="3480" w:type="dxa"/>
            <w:shd w:val="clear" w:color="auto" w:fill="FFFFFF"/>
            <w:tcMar>
              <w:top w:w="80" w:type="dxa"/>
              <w:left w:w="120" w:type="dxa"/>
              <w:bottom w:w="80" w:type="dxa"/>
              <w:right w:w="120" w:type="dxa"/>
            </w:tcMar>
          </w:tcPr>
          <w:p w14:paraId="2DB742FA" w14:textId="77777777" w:rsidR="00623E03" w:rsidRDefault="00623E03" w:rsidP="009A5F89">
            <w:r>
              <w:rPr>
                <w:rFonts w:ascii="Arial" w:eastAsia="Arial" w:hAnsi="Arial" w:cs="Arial"/>
                <w:sz w:val="20"/>
                <w:szCs w:val="20"/>
              </w:rPr>
              <w:t>Communicating uncertainty and strategic choices in sustainability transitions</w:t>
            </w:r>
          </w:p>
        </w:tc>
      </w:tr>
    </w:tbl>
    <w:p w14:paraId="60A8410F" w14:textId="77777777" w:rsidR="00623E03" w:rsidRDefault="00623E03" w:rsidP="00623E03">
      <w:pPr>
        <w:spacing w:after="120"/>
      </w:pPr>
    </w:p>
    <w:p w14:paraId="31D4CC8B" w14:textId="77777777" w:rsidR="00623E03" w:rsidRDefault="00623E03" w:rsidP="00623E03">
      <w:pPr>
        <w:spacing w:before="80" w:after="80"/>
      </w:pPr>
      <w:r>
        <w:rPr>
          <w:rFonts w:ascii="Arial" w:eastAsia="Arial" w:hAnsi="Arial" w:cs="Arial"/>
          <w:sz w:val="22"/>
          <w:szCs w:val="22"/>
        </w:rPr>
        <w:t>Students will develop the critical capacity to select, adapt, and interrogate these frameworks</w:t>
      </w:r>
      <w:r>
        <w:t xml:space="preserve">, </w:t>
      </w:r>
      <w:r>
        <w:rPr>
          <w:rFonts w:ascii="Arial" w:eastAsia="Arial" w:hAnsi="Arial" w:cs="Arial"/>
          <w:sz w:val="22"/>
          <w:szCs w:val="22"/>
        </w:rPr>
        <w:t>evaluating when and how they can be applied responsibly, and where they risk oversimplifying complexity or marginalising stakeholder voices.</w:t>
      </w:r>
    </w:p>
    <w:p w14:paraId="4BB7C025" w14:textId="77777777" w:rsidR="00623E03" w:rsidRDefault="00623E03" w:rsidP="00623E03">
      <w:pPr>
        <w:spacing w:after="120"/>
      </w:pPr>
    </w:p>
    <w:p w14:paraId="63532880" w14:textId="77777777" w:rsidR="00623E03" w:rsidRPr="00623E03" w:rsidRDefault="00623E03" w:rsidP="00623E03">
      <w:pPr>
        <w:pStyle w:val="Heading2"/>
        <w:jc w:val="left"/>
        <w:rPr>
          <w:color w:val="000000" w:themeColor="text1"/>
        </w:rPr>
      </w:pPr>
      <w:r w:rsidRPr="00623E03">
        <w:rPr>
          <w:rFonts w:ascii="Arial" w:eastAsia="Arial" w:hAnsi="Arial" w:cs="Arial"/>
          <w:color w:val="000000" w:themeColor="text1"/>
        </w:rPr>
        <w:t>Applied Topics</w:t>
      </w:r>
    </w:p>
    <w:p w14:paraId="0845A745" w14:textId="77777777" w:rsidR="00623E03" w:rsidRDefault="00623E03" w:rsidP="00623E03">
      <w:pPr>
        <w:spacing w:before="80" w:after="80"/>
      </w:pPr>
      <w:r>
        <w:rPr>
          <w:rFonts w:ascii="Arial" w:eastAsia="Arial" w:hAnsi="Arial" w:cs="Arial"/>
          <w:sz w:val="22"/>
          <w:szCs w:val="22"/>
        </w:rPr>
        <w:t>Applied seminar and workshop content includes:</w:t>
      </w:r>
    </w:p>
    <w:p w14:paraId="732EC3B3"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Storytelling as a tool for systems change and sustainable transformation</w:t>
      </w:r>
    </w:p>
    <w:p w14:paraId="6416AEB9"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Founder, leader, and organisational purpose narratives</w:t>
      </w:r>
    </w:p>
    <w:p w14:paraId="5539E36B"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Communicating trade-offs, uncertainty, and complexity</w:t>
      </w:r>
    </w:p>
    <w:p w14:paraId="28D67583"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Impact investment, ESG, and blended value storytelling</w:t>
      </w:r>
    </w:p>
    <w:p w14:paraId="4666DCCF"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Cross-cultural communication and global justice perspectives</w:t>
      </w:r>
    </w:p>
    <w:p w14:paraId="7331D035"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Visual storytelling, pitch design, and delivery skills</w:t>
      </w:r>
    </w:p>
    <w:p w14:paraId="590D6761" w14:textId="77777777" w:rsidR="00623E03" w:rsidRDefault="00623E03" w:rsidP="00623E03">
      <w:pPr>
        <w:pStyle w:val="ListParagraph"/>
        <w:numPr>
          <w:ilvl w:val="0"/>
          <w:numId w:val="34"/>
        </w:numPr>
        <w:spacing w:before="40" w:after="40"/>
        <w:contextualSpacing w:val="0"/>
      </w:pPr>
      <w:r>
        <w:rPr>
          <w:rFonts w:ascii="Arial" w:eastAsia="Arial" w:hAnsi="Arial" w:cs="Arial"/>
          <w:sz w:val="22"/>
          <w:szCs w:val="22"/>
        </w:rPr>
        <w:t>Media, public engagement, and digital narratives for impact</w:t>
      </w:r>
    </w:p>
    <w:p w14:paraId="33C1EA7B" w14:textId="77777777" w:rsidR="00623E03" w:rsidRDefault="00623E03" w:rsidP="00623E03">
      <w:pPr>
        <w:spacing w:before="80" w:after="80"/>
      </w:pPr>
    </w:p>
    <w:p w14:paraId="32C6C06F" w14:textId="77777777" w:rsidR="00623E03" w:rsidRDefault="00623E03" w:rsidP="00623E03">
      <w:pPr>
        <w:spacing w:before="40" w:after="40"/>
      </w:pPr>
    </w:p>
    <w:p w14:paraId="401EB5C6" w14:textId="77777777" w:rsidR="00623E03" w:rsidRPr="00623E03" w:rsidRDefault="00623E03" w:rsidP="00623E03"/>
    <w:p w14:paraId="4572AD20" w14:textId="77777777" w:rsidR="00D6718A" w:rsidRDefault="00D6718A" w:rsidP="00D6718A">
      <w:pPr>
        <w:jc w:val="both"/>
        <w:rPr>
          <w:rFonts w:ascii="Arial" w:hAnsi="Arial" w:cs="Arial"/>
        </w:rPr>
      </w:pPr>
    </w:p>
    <w:p w14:paraId="5B6881C2" w14:textId="4194AD37" w:rsidR="00D6718A" w:rsidRDefault="00D6718A" w:rsidP="00D6718A">
      <w:pPr>
        <w:rPr>
          <w:rFonts w:ascii="Arial" w:hAnsi="Arial" w:cs="Arial"/>
          <w:b/>
        </w:rPr>
      </w:pPr>
      <w:r>
        <w:rPr>
          <w:rFonts w:ascii="Arial" w:hAnsi="Arial" w:cs="Arial"/>
          <w:b/>
        </w:rPr>
        <w:t>LEARNING AND TEACHING APPROACH</w:t>
      </w:r>
    </w:p>
    <w:p w14:paraId="2799DEA2" w14:textId="77777777" w:rsidR="00D62B7E" w:rsidRDefault="00D62B7E" w:rsidP="00D6718A">
      <w:pPr>
        <w:rPr>
          <w:rFonts w:ascii="Arial" w:hAnsi="Arial" w:cs="Arial"/>
          <w:b/>
        </w:rPr>
      </w:pPr>
    </w:p>
    <w:p w14:paraId="11033639" w14:textId="77777777" w:rsidR="00D62B7E" w:rsidRPr="00D62B7E" w:rsidRDefault="00D62B7E" w:rsidP="00D62B7E">
      <w:pPr>
        <w:pStyle w:val="Heading1"/>
        <w:pBdr>
          <w:bottom w:val="single" w:sz="6" w:space="4" w:color="2E8B57"/>
        </w:pBdr>
        <w:rPr>
          <w:color w:val="000000" w:themeColor="text1"/>
        </w:rPr>
      </w:pPr>
      <w:r w:rsidRPr="00D62B7E">
        <w:rPr>
          <w:rFonts w:ascii="Arial" w:eastAsia="Arial" w:hAnsi="Arial" w:cs="Arial"/>
          <w:color w:val="000000" w:themeColor="text1"/>
          <w:sz w:val="28"/>
          <w:szCs w:val="28"/>
        </w:rPr>
        <w:lastRenderedPageBreak/>
        <w:t>Teaching and Learning Approach</w:t>
      </w:r>
    </w:p>
    <w:p w14:paraId="4343CFF8" w14:textId="77777777" w:rsidR="00D62B7E" w:rsidRDefault="00D62B7E" w:rsidP="00D62B7E">
      <w:pPr>
        <w:spacing w:before="80" w:after="80"/>
      </w:pPr>
      <w:r>
        <w:rPr>
          <w:rFonts w:ascii="Arial" w:eastAsia="Arial" w:hAnsi="Arial" w:cs="Arial"/>
          <w:sz w:val="22"/>
          <w:szCs w:val="22"/>
        </w:rPr>
        <w:t>The module is delivered through an interactive, practice-based approach grounded in its theoretical foundations:</w:t>
      </w:r>
    </w:p>
    <w:p w14:paraId="1B8E3DD4" w14:textId="77777777" w:rsidR="00D62B7E" w:rsidRDefault="00D62B7E" w:rsidP="00D62B7E">
      <w:pPr>
        <w:pStyle w:val="ListParagraph"/>
        <w:numPr>
          <w:ilvl w:val="0"/>
          <w:numId w:val="34"/>
        </w:numPr>
        <w:spacing w:before="40" w:after="40"/>
        <w:contextualSpacing w:val="0"/>
      </w:pPr>
      <w:r>
        <w:rPr>
          <w:rFonts w:ascii="Arial" w:eastAsia="Arial" w:hAnsi="Arial" w:cs="Arial"/>
          <w:sz w:val="22"/>
          <w:szCs w:val="22"/>
        </w:rPr>
        <w:t>Workshops and applied seminars integrating communication theory with practice</w:t>
      </w:r>
    </w:p>
    <w:p w14:paraId="3AE6B499" w14:textId="77777777" w:rsidR="00D62B7E" w:rsidRDefault="00D62B7E" w:rsidP="00D62B7E">
      <w:pPr>
        <w:pStyle w:val="ListParagraph"/>
        <w:numPr>
          <w:ilvl w:val="0"/>
          <w:numId w:val="34"/>
        </w:numPr>
        <w:spacing w:before="40" w:after="40"/>
        <w:contextualSpacing w:val="0"/>
      </w:pPr>
      <w:r>
        <w:rPr>
          <w:rFonts w:ascii="Arial" w:eastAsia="Arial" w:hAnsi="Arial" w:cs="Arial"/>
          <w:sz w:val="22"/>
          <w:szCs w:val="22"/>
        </w:rPr>
        <w:t>Case study analysis of successful and problematic sustainability narratives</w:t>
      </w:r>
    </w:p>
    <w:p w14:paraId="3FAB2F78" w14:textId="77777777" w:rsidR="00D62B7E" w:rsidRDefault="00D62B7E" w:rsidP="00D62B7E">
      <w:pPr>
        <w:pStyle w:val="ListParagraph"/>
        <w:numPr>
          <w:ilvl w:val="0"/>
          <w:numId w:val="34"/>
        </w:numPr>
        <w:spacing w:before="40" w:after="40"/>
        <w:contextualSpacing w:val="0"/>
      </w:pPr>
      <w:r>
        <w:rPr>
          <w:rFonts w:ascii="Arial" w:eastAsia="Arial" w:hAnsi="Arial" w:cs="Arial"/>
          <w:sz w:val="22"/>
          <w:szCs w:val="22"/>
        </w:rPr>
        <w:t>Pitch labs and communication rehearsals with structured peer feedback</w:t>
      </w:r>
    </w:p>
    <w:p w14:paraId="2548D8ED" w14:textId="77777777" w:rsidR="00D62B7E" w:rsidRDefault="00D62B7E" w:rsidP="00D62B7E">
      <w:pPr>
        <w:pStyle w:val="ListParagraph"/>
        <w:numPr>
          <w:ilvl w:val="0"/>
          <w:numId w:val="34"/>
        </w:numPr>
        <w:spacing w:before="40" w:after="40"/>
        <w:contextualSpacing w:val="0"/>
      </w:pPr>
      <w:r>
        <w:rPr>
          <w:rFonts w:ascii="Arial" w:eastAsia="Arial" w:hAnsi="Arial" w:cs="Arial"/>
          <w:sz w:val="22"/>
          <w:szCs w:val="22"/>
        </w:rPr>
        <w:t>Live workshop simulation (Assessment 2 preparation and delivery)</w:t>
      </w:r>
    </w:p>
    <w:p w14:paraId="76B6B6C3" w14:textId="77777777" w:rsidR="00D62B7E" w:rsidRDefault="00D62B7E" w:rsidP="00D62B7E">
      <w:pPr>
        <w:pStyle w:val="ListParagraph"/>
        <w:numPr>
          <w:ilvl w:val="0"/>
          <w:numId w:val="34"/>
        </w:numPr>
        <w:spacing w:before="40" w:after="40"/>
        <w:contextualSpacing w:val="0"/>
      </w:pPr>
      <w:r>
        <w:rPr>
          <w:rFonts w:ascii="Arial" w:eastAsia="Arial" w:hAnsi="Arial" w:cs="Arial"/>
          <w:sz w:val="22"/>
          <w:szCs w:val="22"/>
        </w:rPr>
        <w:t>Guest contributions from impact investors, social entrepreneurs, sustainability leaders, and communication practitioners (in-person or via video)</w:t>
      </w:r>
    </w:p>
    <w:p w14:paraId="5A8E5FA8" w14:textId="77777777" w:rsidR="00D62B7E" w:rsidRDefault="00D62B7E" w:rsidP="00D62B7E">
      <w:pPr>
        <w:pStyle w:val="ListParagraph"/>
        <w:numPr>
          <w:ilvl w:val="0"/>
          <w:numId w:val="34"/>
        </w:numPr>
        <w:spacing w:before="40" w:after="40"/>
        <w:contextualSpacing w:val="0"/>
      </w:pPr>
      <w:r>
        <w:rPr>
          <w:rFonts w:ascii="Arial" w:eastAsia="Arial" w:hAnsi="Arial" w:cs="Arial"/>
          <w:sz w:val="22"/>
          <w:szCs w:val="22"/>
        </w:rPr>
        <w:t>Online group and individual supervision sessions (Semester 2, via Teams/Zoom)</w:t>
      </w:r>
    </w:p>
    <w:p w14:paraId="22F8A3CC" w14:textId="77777777" w:rsidR="00D62B7E" w:rsidRDefault="00D62B7E" w:rsidP="00D62B7E">
      <w:pPr>
        <w:pStyle w:val="ListParagraph"/>
        <w:numPr>
          <w:ilvl w:val="0"/>
          <w:numId w:val="34"/>
        </w:numPr>
        <w:spacing w:before="40" w:after="40"/>
        <w:contextualSpacing w:val="0"/>
      </w:pPr>
      <w:r>
        <w:rPr>
          <w:rFonts w:ascii="Arial" w:eastAsia="Arial" w:hAnsi="Arial" w:cs="Arial"/>
          <w:sz w:val="22"/>
          <w:szCs w:val="22"/>
        </w:rPr>
        <w:t>Peer feedback triads to support self-directed development in Semester 2</w:t>
      </w:r>
    </w:p>
    <w:p w14:paraId="37B094F0" w14:textId="77777777" w:rsidR="00D62B7E" w:rsidRDefault="00D62B7E" w:rsidP="00D62B7E">
      <w:pPr>
        <w:spacing w:after="120"/>
      </w:pPr>
    </w:p>
    <w:p w14:paraId="0C4E8E23" w14:textId="77777777" w:rsidR="00D62B7E" w:rsidRDefault="00D62B7E" w:rsidP="00D62B7E">
      <w:pPr>
        <w:spacing w:before="80" w:after="80"/>
      </w:pPr>
      <w:r>
        <w:rPr>
          <w:rFonts w:ascii="Arial" w:eastAsia="Arial" w:hAnsi="Arial" w:cs="Arial"/>
          <w:sz w:val="22"/>
          <w:szCs w:val="22"/>
        </w:rPr>
        <w:t xml:space="preserve">The emphasis is on experiential learning, theoretical rigour, synthesis, and real-world application. </w:t>
      </w:r>
    </w:p>
    <w:p w14:paraId="2CC7265B" w14:textId="77777777" w:rsidR="00623E03" w:rsidRDefault="00623E03" w:rsidP="00D6718A">
      <w:pPr>
        <w:rPr>
          <w:rFonts w:ascii="Arial" w:hAnsi="Arial" w:cs="Arial"/>
          <w:b/>
        </w:rPr>
      </w:pPr>
    </w:p>
    <w:p w14:paraId="1B11430F" w14:textId="77777777" w:rsidR="00623E03" w:rsidRPr="00623E03" w:rsidRDefault="00623E03" w:rsidP="00623E03">
      <w:pPr>
        <w:pStyle w:val="Heading1"/>
        <w:pBdr>
          <w:bottom w:val="single" w:sz="6" w:space="4" w:color="2E8B57"/>
        </w:pBdr>
        <w:rPr>
          <w:color w:val="000000" w:themeColor="text1"/>
        </w:rPr>
      </w:pPr>
      <w:r w:rsidRPr="00623E03">
        <w:rPr>
          <w:rFonts w:ascii="Arial" w:eastAsia="Arial" w:hAnsi="Arial" w:cs="Arial"/>
          <w:color w:val="000000" w:themeColor="text1"/>
          <w:sz w:val="28"/>
          <w:szCs w:val="28"/>
        </w:rPr>
        <w:t>Semester 1 — In-Person Teaching (September – Mid-December)</w:t>
      </w:r>
    </w:p>
    <w:p w14:paraId="004646A2" w14:textId="77777777" w:rsidR="00623E03" w:rsidRDefault="00623E03" w:rsidP="00623E03">
      <w:pPr>
        <w:spacing w:before="80" w:after="80"/>
        <w:rPr>
          <w:rFonts w:ascii="Arial" w:eastAsia="Arial" w:hAnsi="Arial" w:cs="Arial"/>
          <w:sz w:val="22"/>
          <w:szCs w:val="22"/>
        </w:rPr>
      </w:pPr>
      <w:r>
        <w:rPr>
          <w:rFonts w:ascii="Arial" w:eastAsia="Arial" w:hAnsi="Arial" w:cs="Arial"/>
          <w:sz w:val="22"/>
          <w:szCs w:val="22"/>
        </w:rPr>
        <w:t>All core module content is delivered in Semester 1 through workshops, applied seminars, pitch labs, and peer feedback sessions. The theoretical foundation is established early, with applied practice built on it progressively. Assessment 2 (the live workshop) is conducted in Week 12 of Semester 1.</w:t>
      </w:r>
    </w:p>
    <w:p w14:paraId="66CFC767" w14:textId="77777777" w:rsidR="00623E03" w:rsidRDefault="00623E03" w:rsidP="00623E03">
      <w:pPr>
        <w:spacing w:before="80" w:after="80"/>
        <w:rPr>
          <w:rFonts w:ascii="Arial" w:eastAsia="Arial" w:hAnsi="Arial" w:cs="Arial"/>
          <w:sz w:val="22"/>
          <w:szCs w:val="22"/>
        </w:rPr>
      </w:pPr>
    </w:p>
    <w:p w14:paraId="10DD89D4" w14:textId="71D32E7C" w:rsidR="00623E03" w:rsidRPr="00623E03" w:rsidRDefault="00623E03" w:rsidP="00623E03">
      <w:pPr>
        <w:pStyle w:val="Heading1"/>
        <w:pBdr>
          <w:bottom w:val="single" w:sz="6" w:space="4" w:color="2E8B57"/>
        </w:pBdr>
        <w:rPr>
          <w:color w:val="000000" w:themeColor="text1"/>
        </w:rPr>
      </w:pPr>
      <w:r w:rsidRPr="00623E03">
        <w:rPr>
          <w:rFonts w:ascii="Arial" w:eastAsia="Arial" w:hAnsi="Arial" w:cs="Arial"/>
          <w:color w:val="000000" w:themeColor="text1"/>
          <w:sz w:val="28"/>
          <w:szCs w:val="28"/>
        </w:rPr>
        <w:t xml:space="preserve">Semester 2 — Independent Development with Online Supervision (January – </w:t>
      </w:r>
      <w:r>
        <w:rPr>
          <w:rFonts w:ascii="Arial" w:eastAsia="Arial" w:hAnsi="Arial" w:cs="Arial"/>
          <w:color w:val="000000" w:themeColor="text1"/>
          <w:sz w:val="28"/>
          <w:szCs w:val="28"/>
        </w:rPr>
        <w:t>May</w:t>
      </w:r>
      <w:r w:rsidRPr="00623E03">
        <w:rPr>
          <w:rFonts w:ascii="Arial" w:eastAsia="Arial" w:hAnsi="Arial" w:cs="Arial"/>
          <w:color w:val="000000" w:themeColor="text1"/>
          <w:sz w:val="28"/>
          <w:szCs w:val="28"/>
        </w:rPr>
        <w:t>)</w:t>
      </w:r>
    </w:p>
    <w:p w14:paraId="1DFD5000" w14:textId="77777777" w:rsidR="00623E03" w:rsidRDefault="00623E03" w:rsidP="00623E03">
      <w:pPr>
        <w:spacing w:before="80" w:after="80"/>
      </w:pPr>
      <w:r>
        <w:rPr>
          <w:rFonts w:ascii="Arial" w:eastAsia="Arial" w:hAnsi="Arial" w:cs="Arial"/>
          <w:sz w:val="22"/>
          <w:szCs w:val="22"/>
        </w:rPr>
        <w:t>Semester 2 transitions to student-led independent project development with structured online supervision. Students refine their portfolios, complete their Reflective Ethics Commentary, and submit all assessed work.</w:t>
      </w:r>
    </w:p>
    <w:p w14:paraId="6BE06861" w14:textId="77777777" w:rsidR="00623E03" w:rsidRDefault="00623E03" w:rsidP="00D6718A">
      <w:pPr>
        <w:rPr>
          <w:rFonts w:ascii="Arial" w:hAnsi="Arial" w:cs="Arial"/>
          <w:b/>
        </w:rPr>
      </w:pPr>
    </w:p>
    <w:p w14:paraId="18FDCD3B" w14:textId="77777777" w:rsidR="00E72B61" w:rsidRPr="00E72B61" w:rsidRDefault="00E72B61" w:rsidP="00E72B61">
      <w:pPr>
        <w:rPr>
          <w:highlight w:val="yellow"/>
        </w:rPr>
      </w:pPr>
    </w:p>
    <w:p w14:paraId="70B628E2" w14:textId="77777777" w:rsidR="008626E1" w:rsidRDefault="008626E1" w:rsidP="008626E1">
      <w:pPr>
        <w:pStyle w:val="Heading1"/>
        <w:rPr>
          <w:rFonts w:ascii="Arial" w:hAnsi="Arial" w:cs="Arial"/>
        </w:rPr>
      </w:pPr>
      <w:r w:rsidRPr="008B5FFE">
        <w:rPr>
          <w:rFonts w:ascii="Arial" w:hAnsi="Arial" w:cs="Arial"/>
        </w:rPr>
        <w:t>MODULE-LEVEL LEARNING OUTCOMES</w:t>
      </w:r>
    </w:p>
    <w:p w14:paraId="174B4DF4" w14:textId="77777777" w:rsidR="008626E1" w:rsidRPr="007A053E" w:rsidRDefault="008626E1" w:rsidP="008626E1"/>
    <w:p w14:paraId="3EFA5A30" w14:textId="77777777" w:rsidR="008626E1" w:rsidRDefault="008626E1" w:rsidP="008626E1">
      <w:r w:rsidRPr="00436A4E">
        <w:t xml:space="preserve">Having completed this module, the student should be able to: </w:t>
      </w:r>
    </w:p>
    <w:p w14:paraId="4E278D5E" w14:textId="77777777" w:rsidR="00F26116" w:rsidRDefault="00F2611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highlight w:val="yellow"/>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8460"/>
      </w:tblGrid>
      <w:tr w:rsidR="00447D79" w14:paraId="2C7BFC75" w14:textId="77777777" w:rsidTr="009A5F89">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20" w:type="dxa"/>
              <w:bottom w:w="80" w:type="dxa"/>
              <w:right w:w="120" w:type="dxa"/>
            </w:tcMar>
          </w:tcPr>
          <w:p w14:paraId="33DC72D6" w14:textId="77777777" w:rsidR="00447D79" w:rsidRPr="00447D79" w:rsidRDefault="00447D79" w:rsidP="009A5F89">
            <w:pPr>
              <w:jc w:val="center"/>
              <w:rPr>
                <w:color w:val="000000" w:themeColor="text1"/>
              </w:rPr>
            </w:pPr>
            <w:r w:rsidRPr="00447D79">
              <w:rPr>
                <w:rFonts w:ascii="Arial" w:eastAsia="Arial" w:hAnsi="Arial" w:cs="Arial"/>
                <w:b/>
                <w:bCs/>
                <w:color w:val="000000" w:themeColor="text1"/>
                <w:sz w:val="20"/>
                <w:szCs w:val="20"/>
              </w:rPr>
              <w:t>LO1</w:t>
            </w:r>
          </w:p>
        </w:tc>
        <w:tc>
          <w:tcPr>
            <w:tcW w:w="84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20" w:type="dxa"/>
              <w:bottom w:w="80" w:type="dxa"/>
              <w:right w:w="120" w:type="dxa"/>
            </w:tcMar>
          </w:tcPr>
          <w:p w14:paraId="2B2E5B94" w14:textId="77777777" w:rsidR="00447D79" w:rsidRDefault="00447D79" w:rsidP="009A5F89">
            <w:r>
              <w:rPr>
                <w:rFonts w:ascii="Arial" w:eastAsia="Arial" w:hAnsi="Arial" w:cs="Arial"/>
                <w:sz w:val="20"/>
                <w:szCs w:val="20"/>
              </w:rPr>
              <w:t>Critically evaluate the role of storytelling in driving sustainable business and social change, drawing on communication theory, rhetoric, and narrative psychology</w:t>
            </w:r>
          </w:p>
        </w:tc>
      </w:tr>
      <w:tr w:rsidR="00447D79" w14:paraId="0CFA6DDE" w14:textId="77777777" w:rsidTr="009A5F89">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90D71E" w14:textId="77777777" w:rsidR="00447D79" w:rsidRPr="00447D79" w:rsidRDefault="00447D79" w:rsidP="009A5F89">
            <w:pPr>
              <w:jc w:val="center"/>
              <w:rPr>
                <w:color w:val="000000" w:themeColor="text1"/>
              </w:rPr>
            </w:pPr>
            <w:r w:rsidRPr="00447D79">
              <w:rPr>
                <w:rFonts w:ascii="Arial" w:eastAsia="Arial" w:hAnsi="Arial" w:cs="Arial"/>
                <w:b/>
                <w:bCs/>
                <w:color w:val="000000" w:themeColor="text1"/>
                <w:sz w:val="20"/>
                <w:szCs w:val="20"/>
              </w:rPr>
              <w:t>LO2</w:t>
            </w:r>
          </w:p>
        </w:tc>
        <w:tc>
          <w:tcPr>
            <w:tcW w:w="84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995FBB" w14:textId="77777777" w:rsidR="00447D79" w:rsidRDefault="00447D79" w:rsidP="009A5F89">
            <w:r>
              <w:rPr>
                <w:rFonts w:ascii="Arial" w:eastAsia="Arial" w:hAnsi="Arial" w:cs="Arial"/>
                <w:sz w:val="20"/>
                <w:szCs w:val="20"/>
              </w:rPr>
              <w:t>Select, apply, and critically assess established narrative frameworks</w:t>
            </w:r>
            <w:r>
              <w:rPr>
                <w:sz w:val="20"/>
                <w:szCs w:val="20"/>
              </w:rPr>
              <w:t xml:space="preserve">, </w:t>
            </w:r>
            <w:r>
              <w:rPr>
                <w:rFonts w:ascii="Arial" w:eastAsia="Arial" w:hAnsi="Arial" w:cs="Arial"/>
                <w:sz w:val="20"/>
                <w:szCs w:val="20"/>
              </w:rPr>
              <w:t>including problem–solution–impact, systems change, stakeholder-centred, blended value, theory of change, and ethical trade-off narratives</w:t>
            </w:r>
            <w:r>
              <w:rPr>
                <w:sz w:val="20"/>
                <w:szCs w:val="20"/>
              </w:rPr>
              <w:t xml:space="preserve">, </w:t>
            </w:r>
            <w:r>
              <w:rPr>
                <w:rFonts w:ascii="Arial" w:eastAsia="Arial" w:hAnsi="Arial" w:cs="Arial"/>
                <w:sz w:val="20"/>
                <w:szCs w:val="20"/>
              </w:rPr>
              <w:t>to communicate sustainability challenges and solutions with clarity and credibility</w:t>
            </w:r>
          </w:p>
        </w:tc>
      </w:tr>
      <w:tr w:rsidR="00447D79" w14:paraId="3BD2A15E" w14:textId="77777777" w:rsidTr="009A5F89">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20" w:type="dxa"/>
              <w:bottom w:w="80" w:type="dxa"/>
              <w:right w:w="120" w:type="dxa"/>
            </w:tcMar>
          </w:tcPr>
          <w:p w14:paraId="7E558488" w14:textId="77777777" w:rsidR="00447D79" w:rsidRPr="00447D79" w:rsidRDefault="00447D79" w:rsidP="009A5F89">
            <w:pPr>
              <w:jc w:val="center"/>
              <w:rPr>
                <w:color w:val="000000" w:themeColor="text1"/>
              </w:rPr>
            </w:pPr>
            <w:r w:rsidRPr="00447D79">
              <w:rPr>
                <w:rFonts w:ascii="Arial" w:eastAsia="Arial" w:hAnsi="Arial" w:cs="Arial"/>
                <w:b/>
                <w:bCs/>
                <w:color w:val="000000" w:themeColor="text1"/>
                <w:sz w:val="20"/>
                <w:szCs w:val="20"/>
              </w:rPr>
              <w:t>LO3</w:t>
            </w:r>
          </w:p>
        </w:tc>
        <w:tc>
          <w:tcPr>
            <w:tcW w:w="84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20" w:type="dxa"/>
              <w:bottom w:w="80" w:type="dxa"/>
              <w:right w:w="120" w:type="dxa"/>
            </w:tcMar>
          </w:tcPr>
          <w:p w14:paraId="31CA6006" w14:textId="77777777" w:rsidR="00447D79" w:rsidRDefault="00447D79" w:rsidP="009A5F89">
            <w:r>
              <w:rPr>
                <w:rFonts w:ascii="Arial" w:eastAsia="Arial" w:hAnsi="Arial" w:cs="Arial"/>
                <w:sz w:val="20"/>
                <w:szCs w:val="20"/>
              </w:rPr>
              <w:t>Translate impact data, evidence, and metrics into accessible and persuasive narratives, while resisting oversimplification and greenwashing</w:t>
            </w:r>
          </w:p>
        </w:tc>
      </w:tr>
      <w:tr w:rsidR="00447D79" w14:paraId="69CAE758" w14:textId="77777777" w:rsidTr="009A5F89">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856F2A" w14:textId="77777777" w:rsidR="00447D79" w:rsidRPr="00447D79" w:rsidRDefault="00447D79" w:rsidP="009A5F89">
            <w:pPr>
              <w:jc w:val="center"/>
              <w:rPr>
                <w:color w:val="000000" w:themeColor="text1"/>
              </w:rPr>
            </w:pPr>
            <w:r w:rsidRPr="00447D79">
              <w:rPr>
                <w:rFonts w:ascii="Arial" w:eastAsia="Arial" w:hAnsi="Arial" w:cs="Arial"/>
                <w:b/>
                <w:bCs/>
                <w:color w:val="000000" w:themeColor="text1"/>
                <w:sz w:val="20"/>
                <w:szCs w:val="20"/>
              </w:rPr>
              <w:t>LO4</w:t>
            </w:r>
          </w:p>
        </w:tc>
        <w:tc>
          <w:tcPr>
            <w:tcW w:w="84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0653D6" w14:textId="77777777" w:rsidR="00447D79" w:rsidRDefault="00447D79" w:rsidP="009A5F89">
            <w:r>
              <w:rPr>
                <w:rFonts w:ascii="Arial" w:eastAsia="Arial" w:hAnsi="Arial" w:cs="Arial"/>
                <w:sz w:val="20"/>
                <w:szCs w:val="20"/>
              </w:rPr>
              <w:t>Adapt communication strategies for different stakeholders, including investors, communities, employees, and policymakers, using behavioural and audience-analysis frameworks</w:t>
            </w:r>
          </w:p>
        </w:tc>
      </w:tr>
      <w:tr w:rsidR="00447D79" w14:paraId="6B773B83" w14:textId="77777777" w:rsidTr="009A5F89">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20" w:type="dxa"/>
              <w:bottom w:w="80" w:type="dxa"/>
              <w:right w:w="120" w:type="dxa"/>
            </w:tcMar>
          </w:tcPr>
          <w:p w14:paraId="281A1A6C" w14:textId="77777777" w:rsidR="00447D79" w:rsidRPr="00447D79" w:rsidRDefault="00447D79" w:rsidP="009A5F89">
            <w:pPr>
              <w:jc w:val="center"/>
              <w:rPr>
                <w:color w:val="000000" w:themeColor="text1"/>
              </w:rPr>
            </w:pPr>
            <w:r w:rsidRPr="00447D79">
              <w:rPr>
                <w:rFonts w:ascii="Arial" w:eastAsia="Arial" w:hAnsi="Arial" w:cs="Arial"/>
                <w:b/>
                <w:bCs/>
                <w:color w:val="000000" w:themeColor="text1"/>
                <w:sz w:val="20"/>
                <w:szCs w:val="20"/>
              </w:rPr>
              <w:lastRenderedPageBreak/>
              <w:t>LO5</w:t>
            </w:r>
          </w:p>
        </w:tc>
        <w:tc>
          <w:tcPr>
            <w:tcW w:w="84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20" w:type="dxa"/>
              <w:bottom w:w="80" w:type="dxa"/>
              <w:right w:w="120" w:type="dxa"/>
            </w:tcMar>
          </w:tcPr>
          <w:p w14:paraId="0C7479F4" w14:textId="77777777" w:rsidR="00447D79" w:rsidRDefault="00447D79" w:rsidP="009A5F89">
            <w:r>
              <w:rPr>
                <w:rFonts w:ascii="Arial" w:eastAsia="Arial" w:hAnsi="Arial" w:cs="Arial"/>
                <w:sz w:val="20"/>
                <w:szCs w:val="20"/>
              </w:rPr>
              <w:t>Demonstrate effective oral, visual, and written communication in professional contexts, including under constrained and time-pressured conditions</w:t>
            </w:r>
          </w:p>
        </w:tc>
      </w:tr>
      <w:tr w:rsidR="00447D79" w14:paraId="7964CFAC" w14:textId="77777777" w:rsidTr="009A5F89">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33016E" w14:textId="77777777" w:rsidR="00447D79" w:rsidRPr="00447D79" w:rsidRDefault="00447D79" w:rsidP="009A5F89">
            <w:pPr>
              <w:jc w:val="center"/>
              <w:rPr>
                <w:color w:val="000000" w:themeColor="text1"/>
              </w:rPr>
            </w:pPr>
            <w:r w:rsidRPr="00447D79">
              <w:rPr>
                <w:rFonts w:ascii="Arial" w:eastAsia="Arial" w:hAnsi="Arial" w:cs="Arial"/>
                <w:b/>
                <w:bCs/>
                <w:color w:val="000000" w:themeColor="text1"/>
                <w:sz w:val="20"/>
                <w:szCs w:val="20"/>
              </w:rPr>
              <w:t>LO6</w:t>
            </w:r>
          </w:p>
        </w:tc>
        <w:tc>
          <w:tcPr>
            <w:tcW w:w="84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CAC7EE" w14:textId="77777777" w:rsidR="00447D79" w:rsidRDefault="00447D79" w:rsidP="009A5F89">
            <w:r>
              <w:rPr>
                <w:rFonts w:ascii="Arial" w:eastAsia="Arial" w:hAnsi="Arial" w:cs="Arial"/>
                <w:sz w:val="20"/>
                <w:szCs w:val="20"/>
              </w:rPr>
              <w:t>Reflect ethically on persuasion, power, and responsibility in sustainability narratives, and apply those reflections to their own practice as communicators</w:t>
            </w:r>
          </w:p>
        </w:tc>
      </w:tr>
      <w:tr w:rsidR="00447D79" w14:paraId="0010E0FE" w14:textId="77777777" w:rsidTr="009A5F89">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20" w:type="dxa"/>
              <w:bottom w:w="80" w:type="dxa"/>
              <w:right w:w="120" w:type="dxa"/>
            </w:tcMar>
          </w:tcPr>
          <w:p w14:paraId="2B7FEE00" w14:textId="77777777" w:rsidR="00447D79" w:rsidRPr="00447D79" w:rsidRDefault="00447D79" w:rsidP="009A5F89">
            <w:pPr>
              <w:jc w:val="center"/>
              <w:rPr>
                <w:color w:val="000000" w:themeColor="text1"/>
              </w:rPr>
            </w:pPr>
            <w:r w:rsidRPr="00447D79">
              <w:rPr>
                <w:rFonts w:ascii="Arial" w:eastAsia="Arial" w:hAnsi="Arial" w:cs="Arial"/>
                <w:b/>
                <w:bCs/>
                <w:color w:val="000000" w:themeColor="text1"/>
                <w:sz w:val="20"/>
                <w:szCs w:val="20"/>
              </w:rPr>
              <w:t>LO7</w:t>
            </w:r>
          </w:p>
        </w:tc>
        <w:tc>
          <w:tcPr>
            <w:tcW w:w="84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20" w:type="dxa"/>
              <w:bottom w:w="80" w:type="dxa"/>
              <w:right w:w="120" w:type="dxa"/>
            </w:tcMar>
          </w:tcPr>
          <w:p w14:paraId="65DA3ADB" w14:textId="77777777" w:rsidR="00447D79" w:rsidRDefault="00447D79" w:rsidP="009A5F89">
            <w:r>
              <w:rPr>
                <w:rFonts w:ascii="Arial" w:eastAsia="Arial" w:hAnsi="Arial" w:cs="Arial"/>
                <w:sz w:val="20"/>
                <w:szCs w:val="20"/>
              </w:rPr>
              <w:t>Integrate knowledge from across the programme into a coherent capstone communication project that demonstrates professional readiness</w:t>
            </w:r>
          </w:p>
        </w:tc>
      </w:tr>
    </w:tbl>
    <w:p w14:paraId="06D22F86" w14:textId="77777777" w:rsidR="00F26116" w:rsidRDefault="00F2611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9BAFEC9" w14:textId="77777777" w:rsidR="00D6718A" w:rsidRDefault="00D6718A" w:rsidP="00D6718A">
      <w:pPr>
        <w:jc w:val="both"/>
        <w:rPr>
          <w:rFonts w:ascii="Arial" w:hAnsi="Arial" w:cs="Arial"/>
          <w:b/>
        </w:rPr>
      </w:pPr>
      <w:r>
        <w:rPr>
          <w:rFonts w:ascii="Arial" w:hAnsi="Arial" w:cs="Arial"/>
          <w:b/>
        </w:rPr>
        <w:t>RELATION TO DEGREE</w:t>
      </w:r>
    </w:p>
    <w:p w14:paraId="730F38FC" w14:textId="77777777" w:rsidR="009623EF" w:rsidRDefault="009623EF" w:rsidP="00D6718A">
      <w:pPr>
        <w:jc w:val="both"/>
        <w:rPr>
          <w:rFonts w:ascii="Arial" w:hAnsi="Arial" w:cs="Arial"/>
          <w:b/>
        </w:rPr>
      </w:pPr>
    </w:p>
    <w:p w14:paraId="074530A8" w14:textId="77777777" w:rsidR="009623EF" w:rsidRPr="0074657B" w:rsidRDefault="009623EF" w:rsidP="009623EF">
      <w:pPr>
        <w:pStyle w:val="Heading1"/>
        <w:pBdr>
          <w:bottom w:val="single" w:sz="6" w:space="4" w:color="2E8B57"/>
        </w:pBdr>
        <w:rPr>
          <w:color w:val="000000" w:themeColor="text1"/>
        </w:rPr>
      </w:pPr>
      <w:r w:rsidRPr="0074657B">
        <w:rPr>
          <w:rFonts w:ascii="Arial" w:eastAsia="Arial" w:hAnsi="Arial" w:cs="Arial"/>
          <w:color w:val="000000" w:themeColor="text1"/>
          <w:sz w:val="28"/>
          <w:szCs w:val="28"/>
        </w:rPr>
        <w:t>Capstone Integration</w:t>
      </w:r>
    </w:p>
    <w:p w14:paraId="0468627E" w14:textId="77777777" w:rsidR="009623EF" w:rsidRDefault="009623EF" w:rsidP="009623EF">
      <w:pPr>
        <w:spacing w:before="80" w:after="80"/>
      </w:pPr>
      <w:r>
        <w:rPr>
          <w:rFonts w:ascii="Arial" w:eastAsia="Arial" w:hAnsi="Arial" w:cs="Arial"/>
          <w:sz w:val="22"/>
          <w:szCs w:val="22"/>
        </w:rPr>
        <w:t>In line with TCD’s capstone criteria, this module:</w:t>
      </w:r>
    </w:p>
    <w:p w14:paraId="33973DDC" w14:textId="77777777" w:rsidR="009623EF" w:rsidRDefault="009623EF" w:rsidP="009623EF">
      <w:pPr>
        <w:pStyle w:val="ListParagraph"/>
        <w:numPr>
          <w:ilvl w:val="0"/>
          <w:numId w:val="34"/>
        </w:numPr>
        <w:spacing w:before="40" w:after="40"/>
        <w:contextualSpacing w:val="0"/>
      </w:pPr>
      <w:r>
        <w:rPr>
          <w:rFonts w:ascii="Arial" w:eastAsia="Arial" w:hAnsi="Arial" w:cs="Arial"/>
          <w:sz w:val="22"/>
          <w:szCs w:val="22"/>
        </w:rPr>
        <w:t>Requires a significant level of independent research and original applied work from each student</w:t>
      </w:r>
    </w:p>
    <w:p w14:paraId="4C2D02B4" w14:textId="77777777" w:rsidR="009623EF" w:rsidRDefault="009623EF" w:rsidP="009623EF">
      <w:pPr>
        <w:pStyle w:val="ListParagraph"/>
        <w:numPr>
          <w:ilvl w:val="0"/>
          <w:numId w:val="34"/>
        </w:numPr>
        <w:spacing w:before="40" w:after="40"/>
        <w:contextualSpacing w:val="0"/>
      </w:pPr>
      <w:r>
        <w:rPr>
          <w:rFonts w:ascii="Arial" w:eastAsia="Arial" w:hAnsi="Arial" w:cs="Arial"/>
          <w:sz w:val="22"/>
          <w:szCs w:val="22"/>
        </w:rPr>
        <w:t>Provides an integrative exercise synthesising learning from across the programme (entrepreneurship, strategy, sustainability, innovation, impact projects)</w:t>
      </w:r>
    </w:p>
    <w:p w14:paraId="75CD8ECD" w14:textId="77777777" w:rsidR="009623EF" w:rsidRDefault="009623EF" w:rsidP="009623EF">
      <w:pPr>
        <w:pStyle w:val="ListParagraph"/>
        <w:numPr>
          <w:ilvl w:val="0"/>
          <w:numId w:val="34"/>
        </w:numPr>
        <w:spacing w:before="40" w:after="40"/>
        <w:contextualSpacing w:val="0"/>
      </w:pPr>
      <w:r>
        <w:rPr>
          <w:rFonts w:ascii="Arial" w:eastAsia="Arial" w:hAnsi="Arial" w:cs="Arial"/>
          <w:sz w:val="22"/>
          <w:szCs w:val="22"/>
        </w:rPr>
        <w:t>Enables students to demonstrate attainment of the TCD graduate attributes: thinking independently, communicating effectively, developing continuously, and acting responsibly</w:t>
      </w:r>
    </w:p>
    <w:p w14:paraId="61DA1ADB" w14:textId="19F697E8" w:rsidR="009623EF" w:rsidRPr="009623EF" w:rsidRDefault="009623EF" w:rsidP="009623EF">
      <w:pPr>
        <w:pStyle w:val="ListParagraph"/>
        <w:numPr>
          <w:ilvl w:val="0"/>
          <w:numId w:val="34"/>
        </w:numPr>
        <w:spacing w:before="40" w:after="40"/>
        <w:contextualSpacing w:val="0"/>
      </w:pPr>
      <w:r>
        <w:rPr>
          <w:rFonts w:ascii="Arial" w:eastAsia="Arial" w:hAnsi="Arial" w:cs="Arial"/>
          <w:sz w:val="22"/>
          <w:szCs w:val="22"/>
        </w:rPr>
        <w:t>Is weighted at 20 ECTS and assessed as individual student effort</w:t>
      </w:r>
    </w:p>
    <w:p w14:paraId="123F7424" w14:textId="6FFD7A05" w:rsidR="0090417E" w:rsidRPr="004765D6" w:rsidRDefault="0090417E" w:rsidP="0090417E">
      <w:pPr>
        <w:pStyle w:val="Default"/>
        <w:jc w:val="both"/>
        <w:rPr>
          <w:rFonts w:ascii="Arial" w:hAnsi="Arial" w:cs="Arial"/>
          <w:sz w:val="22"/>
          <w:szCs w:val="22"/>
          <w:lang w:val="en-IE"/>
        </w:rPr>
      </w:pPr>
    </w:p>
    <w:p w14:paraId="4C5EE1B3" w14:textId="2E9138CD" w:rsidR="00D6718A"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77777777" w:rsidR="00D6718A" w:rsidRDefault="00D6718A" w:rsidP="00D6718A">
      <w:pPr>
        <w:pStyle w:val="Heading1"/>
        <w:rPr>
          <w:rFonts w:ascii="Arial" w:hAnsi="Arial" w:cs="Arial"/>
        </w:rPr>
      </w:pPr>
      <w:r>
        <w:rPr>
          <w:rFonts w:ascii="Arial" w:hAnsi="Arial" w:cs="Arial"/>
        </w:rPr>
        <w:t>WORKLOAD</w:t>
      </w:r>
    </w:p>
    <w:tbl>
      <w:tblPr>
        <w:tblStyle w:val="TableGrid"/>
        <w:tblW w:w="0" w:type="auto"/>
        <w:tblInd w:w="0" w:type="dxa"/>
        <w:tblLook w:val="01E0" w:firstRow="1" w:lastRow="1" w:firstColumn="1" w:lastColumn="1" w:noHBand="0" w:noVBand="0"/>
      </w:tblPr>
      <w:tblGrid>
        <w:gridCol w:w="5070"/>
        <w:gridCol w:w="3455"/>
      </w:tblGrid>
      <w:tr w:rsidR="00D6718A"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Default="00D6718A">
            <w:pPr>
              <w:shd w:val="pct25" w:color="auto" w:fill="auto"/>
              <w:jc w:val="both"/>
              <w:rPr>
                <w:rFonts w:ascii="Arial" w:hAnsi="Arial" w:cs="Arial"/>
                <w:b/>
                <w:i/>
              </w:rPr>
            </w:pPr>
            <w:r>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Default="00D6718A">
            <w:pPr>
              <w:shd w:val="pct25" w:color="auto" w:fill="auto"/>
              <w:jc w:val="center"/>
              <w:rPr>
                <w:rFonts w:ascii="Arial" w:hAnsi="Arial" w:cs="Arial"/>
                <w:b/>
                <w:i/>
              </w:rPr>
            </w:pPr>
            <w:r>
              <w:rPr>
                <w:rFonts w:ascii="Arial" w:hAnsi="Arial" w:cs="Arial"/>
                <w:b/>
                <w:i/>
              </w:rPr>
              <w:t>Indicative Number of Hours</w:t>
            </w:r>
          </w:p>
        </w:tc>
      </w:tr>
      <w:tr w:rsidR="0090417E"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Pr="000703C0" w:rsidRDefault="0090417E" w:rsidP="0090417E">
            <w:pPr>
              <w:jc w:val="both"/>
              <w:rPr>
                <w:rFonts w:ascii="Arial" w:hAnsi="Arial" w:cs="Arial"/>
                <w:i/>
                <w:sz w:val="22"/>
                <w:szCs w:val="22"/>
              </w:rPr>
            </w:pPr>
            <w:r w:rsidRPr="000703C0">
              <w:rPr>
                <w:rFonts w:ascii="Arial" w:hAnsi="Arial" w:cs="Arial"/>
                <w:i/>
                <w:sz w:val="22"/>
                <w:szCs w:val="22"/>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233D4AB7" w:rsidR="0090417E" w:rsidRDefault="009623EF" w:rsidP="0090417E">
            <w:pPr>
              <w:jc w:val="center"/>
              <w:rPr>
                <w:rFonts w:ascii="Arial" w:hAnsi="Arial" w:cs="Arial"/>
                <w:i/>
              </w:rPr>
            </w:pPr>
            <w:r>
              <w:rPr>
                <w:rFonts w:ascii="Arial" w:hAnsi="Arial" w:cs="Arial"/>
                <w:i/>
              </w:rPr>
              <w:t>70</w:t>
            </w:r>
          </w:p>
        </w:tc>
      </w:tr>
      <w:tr w:rsidR="0090417E"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77777777" w:rsidR="0090417E" w:rsidRPr="000703C0" w:rsidRDefault="0090417E" w:rsidP="0090417E">
            <w:pPr>
              <w:jc w:val="both"/>
              <w:rPr>
                <w:rFonts w:ascii="Arial" w:hAnsi="Arial" w:cs="Arial"/>
                <w:i/>
                <w:sz w:val="22"/>
                <w:szCs w:val="22"/>
              </w:rPr>
            </w:pPr>
            <w:r w:rsidRPr="000703C0">
              <w:rPr>
                <w:rFonts w:ascii="Arial" w:hAnsi="Arial" w:cs="Arial"/>
                <w:i/>
                <w:sz w:val="22"/>
                <w:szCs w:val="22"/>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57083A36" w14:textId="4ED87030" w:rsidR="0090417E" w:rsidRDefault="009623EF" w:rsidP="0090417E">
            <w:pPr>
              <w:jc w:val="center"/>
              <w:rPr>
                <w:rFonts w:ascii="Arial" w:hAnsi="Arial" w:cs="Arial"/>
                <w:i/>
              </w:rPr>
            </w:pPr>
            <w:r>
              <w:rPr>
                <w:rFonts w:ascii="Arial" w:hAnsi="Arial" w:cs="Arial"/>
                <w:i/>
              </w:rPr>
              <w:t>100</w:t>
            </w:r>
          </w:p>
        </w:tc>
      </w:tr>
      <w:tr w:rsidR="0090417E"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7306F4D7" w:rsidR="0090417E" w:rsidRPr="000703C0" w:rsidRDefault="0090417E" w:rsidP="0090417E">
            <w:pPr>
              <w:jc w:val="both"/>
              <w:rPr>
                <w:rFonts w:ascii="Arial" w:hAnsi="Arial" w:cs="Arial"/>
                <w:i/>
                <w:sz w:val="22"/>
                <w:szCs w:val="22"/>
              </w:rPr>
            </w:pPr>
            <w:r w:rsidRPr="000703C0">
              <w:rPr>
                <w:rFonts w:ascii="Arial" w:hAnsi="Arial" w:cs="Arial"/>
                <w:i/>
                <w:sz w:val="22"/>
                <w:szCs w:val="22"/>
              </w:rPr>
              <w:t xml:space="preserve">Individual assignment </w:t>
            </w:r>
            <w:r w:rsidR="009623EF" w:rsidRPr="000703C0">
              <w:rPr>
                <w:rFonts w:ascii="Arial" w:hAnsi="Arial" w:cs="Arial"/>
                <w:sz w:val="22"/>
                <w:szCs w:val="22"/>
              </w:rPr>
              <w:t>Assessment 1: Impact Narrative Portfolio preparation and revision</w:t>
            </w:r>
          </w:p>
        </w:tc>
        <w:tc>
          <w:tcPr>
            <w:tcW w:w="3455" w:type="dxa"/>
            <w:tcBorders>
              <w:top w:val="single" w:sz="4" w:space="0" w:color="auto"/>
              <w:left w:val="single" w:sz="4" w:space="0" w:color="auto"/>
              <w:bottom w:val="single" w:sz="4" w:space="0" w:color="auto"/>
              <w:right w:val="single" w:sz="4" w:space="0" w:color="auto"/>
            </w:tcBorders>
          </w:tcPr>
          <w:p w14:paraId="3FFAACF4" w14:textId="167D8287" w:rsidR="0090417E" w:rsidRDefault="009623EF" w:rsidP="0090417E">
            <w:pPr>
              <w:jc w:val="center"/>
              <w:rPr>
                <w:rFonts w:ascii="Arial" w:hAnsi="Arial" w:cs="Arial"/>
                <w:i/>
              </w:rPr>
            </w:pPr>
            <w:r>
              <w:rPr>
                <w:rFonts w:ascii="Arial" w:hAnsi="Arial" w:cs="Arial"/>
                <w:i/>
              </w:rPr>
              <w:t>90</w:t>
            </w:r>
          </w:p>
        </w:tc>
      </w:tr>
      <w:tr w:rsidR="0090417E"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5C59E48F" w:rsidR="0090417E" w:rsidRPr="000703C0" w:rsidRDefault="00EA6F47" w:rsidP="0090417E">
            <w:pPr>
              <w:jc w:val="both"/>
              <w:rPr>
                <w:rFonts w:ascii="Arial" w:hAnsi="Arial" w:cs="Arial"/>
                <w:i/>
                <w:sz w:val="22"/>
                <w:szCs w:val="22"/>
              </w:rPr>
            </w:pPr>
            <w:r>
              <w:rPr>
                <w:rFonts w:ascii="Arial" w:hAnsi="Arial" w:cs="Arial"/>
                <w:i/>
                <w:sz w:val="22"/>
                <w:szCs w:val="22"/>
              </w:rPr>
              <w:t xml:space="preserve">Individual </w:t>
            </w:r>
            <w:r w:rsidR="0090417E" w:rsidRPr="000703C0">
              <w:rPr>
                <w:rFonts w:ascii="Arial" w:hAnsi="Arial" w:cs="Arial"/>
                <w:i/>
                <w:sz w:val="22"/>
                <w:szCs w:val="22"/>
              </w:rPr>
              <w:t>assignment</w:t>
            </w:r>
            <w:r w:rsidR="009623EF" w:rsidRPr="000703C0">
              <w:rPr>
                <w:rFonts w:ascii="Arial" w:hAnsi="Arial" w:cs="Arial"/>
                <w:i/>
                <w:sz w:val="22"/>
                <w:szCs w:val="22"/>
              </w:rPr>
              <w:t xml:space="preserve"> </w:t>
            </w:r>
            <w:r w:rsidR="009623EF" w:rsidRPr="000703C0">
              <w:rPr>
                <w:rFonts w:ascii="Arial" w:hAnsi="Arial" w:cs="Arial"/>
                <w:sz w:val="22"/>
                <w:szCs w:val="22"/>
              </w:rPr>
              <w:t>Assessment 2: Live Workshop Presentation preparation and participation</w:t>
            </w:r>
          </w:p>
        </w:tc>
        <w:tc>
          <w:tcPr>
            <w:tcW w:w="3455" w:type="dxa"/>
            <w:tcBorders>
              <w:top w:val="single" w:sz="4" w:space="0" w:color="auto"/>
              <w:left w:val="single" w:sz="4" w:space="0" w:color="auto"/>
              <w:bottom w:val="single" w:sz="4" w:space="0" w:color="auto"/>
              <w:right w:val="single" w:sz="4" w:space="0" w:color="auto"/>
            </w:tcBorders>
          </w:tcPr>
          <w:p w14:paraId="469BD5EF" w14:textId="29580E7E" w:rsidR="0090417E" w:rsidRDefault="009623EF" w:rsidP="0090417E">
            <w:pPr>
              <w:jc w:val="center"/>
              <w:rPr>
                <w:rFonts w:ascii="Arial" w:hAnsi="Arial" w:cs="Arial"/>
                <w:i/>
              </w:rPr>
            </w:pPr>
            <w:r>
              <w:rPr>
                <w:rFonts w:ascii="Arial" w:hAnsi="Arial" w:cs="Arial"/>
                <w:i/>
              </w:rPr>
              <w:t>90</w:t>
            </w:r>
          </w:p>
        </w:tc>
      </w:tr>
      <w:tr w:rsidR="0090417E"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77777777" w:rsidR="0090417E" w:rsidRPr="000703C0" w:rsidRDefault="0090417E" w:rsidP="0090417E">
            <w:pPr>
              <w:jc w:val="both"/>
              <w:rPr>
                <w:rFonts w:ascii="Arial" w:hAnsi="Arial" w:cs="Arial"/>
                <w:i/>
                <w:sz w:val="22"/>
                <w:szCs w:val="22"/>
              </w:rPr>
            </w:pPr>
            <w:r w:rsidRPr="000703C0">
              <w:rPr>
                <w:rFonts w:ascii="Arial" w:hAnsi="Arial" w:cs="Arial"/>
                <w:i/>
                <w:sz w:val="22"/>
                <w:szCs w:val="22"/>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3752ABBA" w14:textId="5EF82FE9" w:rsidR="0090417E" w:rsidRDefault="009623EF" w:rsidP="0090417E">
            <w:pPr>
              <w:jc w:val="center"/>
              <w:rPr>
                <w:rFonts w:ascii="Arial" w:hAnsi="Arial" w:cs="Arial"/>
                <w:i/>
              </w:rPr>
            </w:pPr>
            <w:r>
              <w:rPr>
                <w:rFonts w:ascii="Arial" w:hAnsi="Arial" w:cs="Arial"/>
                <w:i/>
              </w:rPr>
              <w:t>110</w:t>
            </w:r>
          </w:p>
        </w:tc>
      </w:tr>
      <w:tr w:rsidR="009623EF" w14:paraId="26D8258B" w14:textId="77777777" w:rsidTr="006701D7">
        <w:tc>
          <w:tcPr>
            <w:tcW w:w="5070" w:type="dxa"/>
            <w:tcBorders>
              <w:top w:val="single" w:sz="4" w:space="0" w:color="auto"/>
              <w:left w:val="single" w:sz="4" w:space="0" w:color="auto"/>
              <w:bottom w:val="single" w:sz="4" w:space="0" w:color="auto"/>
              <w:right w:val="single" w:sz="4" w:space="0" w:color="auto"/>
            </w:tcBorders>
            <w:vAlign w:val="center"/>
            <w:hideMark/>
          </w:tcPr>
          <w:p w14:paraId="0D8893BB" w14:textId="62704495" w:rsidR="009623EF" w:rsidRPr="000703C0" w:rsidRDefault="009623EF" w:rsidP="009623EF">
            <w:pPr>
              <w:jc w:val="both"/>
              <w:rPr>
                <w:rFonts w:ascii="Arial" w:hAnsi="Arial" w:cs="Arial"/>
                <w:i/>
                <w:sz w:val="22"/>
                <w:szCs w:val="22"/>
              </w:rPr>
            </w:pPr>
            <w:r w:rsidRPr="000703C0">
              <w:rPr>
                <w:rFonts w:ascii="Arial" w:hAnsi="Arial" w:cs="Arial"/>
                <w:sz w:val="22"/>
                <w:szCs w:val="22"/>
              </w:rPr>
              <w:t>Assessment 3: Reflective Ethics Commentary and reflective practice activities</w:t>
            </w:r>
          </w:p>
        </w:tc>
        <w:tc>
          <w:tcPr>
            <w:tcW w:w="3455" w:type="dxa"/>
            <w:tcBorders>
              <w:top w:val="single" w:sz="4" w:space="0" w:color="auto"/>
              <w:left w:val="single" w:sz="4" w:space="0" w:color="auto"/>
              <w:bottom w:val="single" w:sz="4" w:space="0" w:color="auto"/>
              <w:right w:val="single" w:sz="4" w:space="0" w:color="auto"/>
            </w:tcBorders>
          </w:tcPr>
          <w:p w14:paraId="4B982534" w14:textId="1F4EA63A" w:rsidR="009623EF" w:rsidRDefault="009623EF" w:rsidP="009623EF">
            <w:pPr>
              <w:jc w:val="center"/>
              <w:rPr>
                <w:rFonts w:ascii="Arial" w:hAnsi="Arial" w:cs="Arial"/>
                <w:i/>
              </w:rPr>
            </w:pPr>
            <w:r>
              <w:rPr>
                <w:rFonts w:ascii="Arial" w:hAnsi="Arial" w:cs="Arial"/>
                <w:i/>
              </w:rPr>
              <w:t>40</w:t>
            </w:r>
          </w:p>
        </w:tc>
      </w:tr>
      <w:tr w:rsidR="009623EF"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623EF" w:rsidRDefault="009623EF" w:rsidP="009623EF">
            <w:pPr>
              <w:jc w:val="both"/>
              <w:rPr>
                <w:rFonts w:ascii="Arial" w:hAnsi="Arial" w:cs="Arial"/>
                <w:b/>
                <w:i/>
              </w:rPr>
            </w:pPr>
            <w:r>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4270887C" w:rsidR="009623EF" w:rsidRDefault="009623EF" w:rsidP="009623EF">
            <w:pPr>
              <w:jc w:val="center"/>
              <w:rPr>
                <w:rFonts w:ascii="Arial" w:hAnsi="Arial" w:cs="Arial"/>
                <w:b/>
                <w:i/>
              </w:rPr>
            </w:pPr>
            <w:r>
              <w:rPr>
                <w:rFonts w:ascii="Arial" w:hAnsi="Arial" w:cs="Arial"/>
                <w:b/>
                <w:i/>
              </w:rPr>
              <w:t>500</w:t>
            </w:r>
          </w:p>
        </w:tc>
      </w:tr>
    </w:tbl>
    <w:p w14:paraId="5AEDCC39" w14:textId="77777777" w:rsidR="00D6718A" w:rsidRDefault="00D6718A" w:rsidP="00D6718A">
      <w:pPr>
        <w:rPr>
          <w:rFonts w:ascii="Arial" w:hAnsi="Arial" w:cs="Arial"/>
        </w:rPr>
      </w:pPr>
    </w:p>
    <w:p w14:paraId="6FC08C62" w14:textId="77777777" w:rsidR="00D6718A" w:rsidRDefault="00D6718A" w:rsidP="00D6718A">
      <w:pPr>
        <w:pStyle w:val="Heading1"/>
        <w:rPr>
          <w:rFonts w:ascii="Arial" w:hAnsi="Arial" w:cs="Arial"/>
        </w:rPr>
      </w:pPr>
      <w:r>
        <w:rPr>
          <w:rFonts w:ascii="Arial" w:hAnsi="Arial" w:cs="Arial"/>
        </w:rPr>
        <w:t>TEXTBOOKS AND REQUIRED RESOURCES</w:t>
      </w:r>
    </w:p>
    <w:p w14:paraId="48D67819" w14:textId="77777777" w:rsidR="00D6718A" w:rsidRDefault="00D6718A" w:rsidP="00D6718A"/>
    <w:p w14:paraId="7C835043" w14:textId="77777777" w:rsidR="00FC2981" w:rsidRDefault="00FC2981" w:rsidP="00FC2981">
      <w:pPr>
        <w:rPr>
          <w:rFonts w:ascii="Arial" w:hAnsi="Arial" w:cs="Arial"/>
          <w:b/>
          <w:bCs/>
          <w:sz w:val="22"/>
          <w:szCs w:val="22"/>
        </w:rPr>
      </w:pPr>
      <w:bookmarkStart w:id="0" w:name="OLE_LINK1"/>
      <w:r>
        <w:rPr>
          <w:rFonts w:ascii="Arial" w:hAnsi="Arial" w:cs="Arial"/>
          <w:b/>
          <w:bCs/>
          <w:sz w:val="22"/>
          <w:szCs w:val="22"/>
        </w:rPr>
        <w:t xml:space="preserve">Required core course textbooks: </w:t>
      </w:r>
    </w:p>
    <w:p w14:paraId="32D024A3" w14:textId="605BFE63" w:rsidR="0074657B" w:rsidRDefault="0074657B" w:rsidP="00FC2981">
      <w:r>
        <w:t xml:space="preserve">Duarte, N. (2010). </w:t>
      </w:r>
      <w:r>
        <w:rPr>
          <w:rStyle w:val="Emphasis"/>
        </w:rPr>
        <w:t>Resonate: Present Visual Stories that Transform Audiences</w:t>
      </w:r>
      <w:r>
        <w:t>. Wiley.</w:t>
      </w:r>
    </w:p>
    <w:p w14:paraId="46B9A7D9" w14:textId="69E4BEFC" w:rsidR="0074657B" w:rsidRDefault="0074657B" w:rsidP="00FC2981">
      <w:pPr>
        <w:rPr>
          <w:rFonts w:ascii="Arial" w:hAnsi="Arial" w:cs="Arial"/>
          <w:b/>
          <w:bCs/>
          <w:sz w:val="22"/>
          <w:szCs w:val="22"/>
        </w:rPr>
      </w:pPr>
      <w:r>
        <w:t xml:space="preserve">Heath &amp; Heath's </w:t>
      </w:r>
      <w:r>
        <w:rPr>
          <w:rStyle w:val="Emphasis"/>
        </w:rPr>
        <w:t>Made to Stick</w:t>
      </w:r>
      <w:r>
        <w:t xml:space="preserve"> (2007)</w:t>
      </w:r>
    </w:p>
    <w:p w14:paraId="54AB10BA" w14:textId="77777777" w:rsidR="00FC2981" w:rsidRDefault="00FC2981" w:rsidP="00FC2981">
      <w:pPr>
        <w:rPr>
          <w:rFonts w:ascii="Arial" w:hAnsi="Arial" w:cs="Arial"/>
          <w:b/>
          <w:bCs/>
          <w:sz w:val="22"/>
          <w:szCs w:val="22"/>
        </w:rPr>
      </w:pPr>
    </w:p>
    <w:bookmarkEnd w:id="0"/>
    <w:p w14:paraId="30675EF2" w14:textId="77777777" w:rsidR="00FC2981" w:rsidRDefault="00FC2981" w:rsidP="00FC2981">
      <w:pPr>
        <w:pStyle w:val="Heading6"/>
        <w:tabs>
          <w:tab w:val="left" w:pos="426"/>
        </w:tabs>
        <w:ind w:left="426" w:hanging="426"/>
        <w:rPr>
          <w:rFonts w:ascii="Arial" w:hAnsi="Arial" w:cs="Arial"/>
          <w:b/>
          <w:i w:val="0"/>
          <w:sz w:val="22"/>
          <w:szCs w:val="22"/>
        </w:rPr>
      </w:pPr>
      <w:r>
        <w:rPr>
          <w:rFonts w:ascii="Arial" w:hAnsi="Arial" w:cs="Arial"/>
          <w:b/>
          <w:i w:val="0"/>
          <w:sz w:val="22"/>
          <w:szCs w:val="22"/>
        </w:rPr>
        <w:t>General Supplemental Readings</w:t>
      </w:r>
    </w:p>
    <w:p w14:paraId="08B23B97" w14:textId="77777777" w:rsidR="00FC2981" w:rsidRPr="00E244E1" w:rsidRDefault="00FC2981" w:rsidP="00FC2981"/>
    <w:p w14:paraId="2338C579" w14:textId="3617C3BA" w:rsidR="0074657B" w:rsidRDefault="0074657B" w:rsidP="0074657B">
      <w:pPr>
        <w:rPr>
          <w:lang w:val="en-ZA"/>
        </w:rPr>
      </w:pPr>
      <w:r>
        <w:lastRenderedPageBreak/>
        <w:t xml:space="preserve">Dyllick, T. &amp; Muff, K. (2016). "Clarifying the Meaning of Sustainable Business." </w:t>
      </w:r>
      <w:r>
        <w:rPr>
          <w:rStyle w:val="Emphasis"/>
        </w:rPr>
        <w:t>Organization &amp; Environment</w:t>
      </w:r>
      <w:r>
        <w:t xml:space="preserve">, 29(2), 156–174. </w:t>
      </w:r>
      <w:r>
        <w:rPr>
          <w:rStyle w:val="Emphasis"/>
        </w:rPr>
        <w:t>(Grounds the 'business-for-good' framing students will inhabit all semester.)</w:t>
      </w:r>
      <w:r>
        <w:t xml:space="preserve"> </w:t>
      </w:r>
    </w:p>
    <w:p w14:paraId="38A4C2E2" w14:textId="13BA129F" w:rsidR="00FC2981" w:rsidRDefault="0074657B" w:rsidP="0074657B">
      <w:pPr>
        <w:rPr>
          <w:rStyle w:val="Emphasis"/>
        </w:rPr>
      </w:pPr>
      <w:r>
        <w:t xml:space="preserve">Elkington, J. (2018). "25 Years Ago I Coined the Phrase 'Triple Bottom Line.' Here's Why It's Time to Rethink It." </w:t>
      </w:r>
      <w:r>
        <w:rPr>
          <w:rStyle w:val="Emphasis"/>
        </w:rPr>
        <w:t>Harvard Business Review</w:t>
      </w:r>
      <w:r>
        <w:t xml:space="preserve">. </w:t>
      </w:r>
      <w:r>
        <w:rPr>
          <w:rStyle w:val="Emphasis"/>
        </w:rPr>
        <w:t>(Short, provocative, accessible — good first hook.)</w:t>
      </w:r>
    </w:p>
    <w:p w14:paraId="2D20344F" w14:textId="7C7BD6F6" w:rsidR="0074657B" w:rsidRDefault="0074657B" w:rsidP="0074657B">
      <w:pPr>
        <w:rPr>
          <w:lang w:val="en-ZA"/>
        </w:rPr>
      </w:pPr>
      <w:r>
        <w:t xml:space="preserve">Aristotle. </w:t>
      </w:r>
      <w:r>
        <w:rPr>
          <w:rStyle w:val="Emphasis"/>
        </w:rPr>
        <w:t>Rhetoric</w:t>
      </w:r>
      <w:r>
        <w:t xml:space="preserve">, Book I (excerpts, especially Chapters 1–3). </w:t>
      </w:r>
      <w:r>
        <w:rPr>
          <w:rStyle w:val="Emphasis"/>
        </w:rPr>
        <w:t>(Any standard translation; Honeycutt's online edition works for undergraduates.)</w:t>
      </w:r>
      <w:r>
        <w:t xml:space="preserve"> </w:t>
      </w:r>
    </w:p>
    <w:p w14:paraId="478379A4" w14:textId="06956408" w:rsidR="0074657B" w:rsidRDefault="0074657B" w:rsidP="0074657B">
      <w:r>
        <w:t xml:space="preserve">Porter, M.E. &amp; Kramer, M.R. (2011). "Creating Shared Value." </w:t>
      </w:r>
      <w:r>
        <w:rPr>
          <w:rStyle w:val="Emphasis"/>
        </w:rPr>
        <w:t>Harvard Business Review</w:t>
      </w:r>
      <w:r>
        <w:t xml:space="preserve">, 89(1/2), 62–77. </w:t>
      </w:r>
      <w:r>
        <w:rPr>
          <w:rStyle w:val="Emphasis"/>
        </w:rPr>
        <w:t>(Widely cited landscape piece.)</w:t>
      </w:r>
      <w:r>
        <w:t xml:space="preserve"> </w:t>
      </w:r>
    </w:p>
    <w:p w14:paraId="54620202" w14:textId="13F35E5C" w:rsidR="0074657B" w:rsidRDefault="0074657B" w:rsidP="0074657B">
      <w:pPr>
        <w:rPr>
          <w:rStyle w:val="Emphasis"/>
        </w:rPr>
      </w:pPr>
      <w:r>
        <w:t xml:space="preserve">Frandsen, S., Kuhn, T. &amp; Lundholt, M.W. (Eds.) (2017). </w:t>
      </w:r>
      <w:r>
        <w:rPr>
          <w:rStyle w:val="Emphasis"/>
        </w:rPr>
        <w:t>Counter-Narratives and Organization</w:t>
      </w:r>
      <w:r>
        <w:t xml:space="preserve">. Routledge. </w:t>
      </w:r>
      <w:r>
        <w:rPr>
          <w:rStyle w:val="Emphasis"/>
        </w:rPr>
        <w:t>(Chapter 1 as an intro to why sustainability narratives are contested.)</w:t>
      </w:r>
    </w:p>
    <w:p w14:paraId="26388E5E" w14:textId="3D279B97" w:rsidR="0074657B" w:rsidRDefault="0074657B" w:rsidP="0074657B">
      <w:pPr>
        <w:rPr>
          <w:lang w:val="en-ZA"/>
        </w:rPr>
      </w:pPr>
      <w:r>
        <w:t xml:space="preserve">Zak, P.J. (2014). "Why Your Brain Loves Good Storytelling." </w:t>
      </w:r>
      <w:r>
        <w:rPr>
          <w:rStyle w:val="Emphasis"/>
        </w:rPr>
        <w:t>Harvard Business Review</w:t>
      </w:r>
      <w:r>
        <w:t xml:space="preserve">. </w:t>
      </w:r>
      <w:r>
        <w:rPr>
          <w:rStyle w:val="Emphasis"/>
        </w:rPr>
        <w:t>(Accessible neuroscience entry point; widely cited on oxytocin and narrative.)</w:t>
      </w:r>
      <w:r>
        <w:t xml:space="preserve"> </w:t>
      </w:r>
    </w:p>
    <w:p w14:paraId="62BA7953" w14:textId="4E379681" w:rsidR="0074657B" w:rsidRDefault="0074657B" w:rsidP="0074657B">
      <w:r>
        <w:t xml:space="preserve">Green, M.C. &amp; Brock, T.C. (2000). "The Role of Transportation in the Persuasiveness of Public Narratives." </w:t>
      </w:r>
      <w:r>
        <w:rPr>
          <w:rStyle w:val="Emphasis"/>
        </w:rPr>
        <w:t>Journal of Personality and Social Psychology</w:t>
      </w:r>
      <w:r>
        <w:t xml:space="preserve">, 79(5), 701–721. </w:t>
      </w:r>
      <w:r>
        <w:rPr>
          <w:rStyle w:val="Emphasis"/>
        </w:rPr>
        <w:t>(Foundational on narrative transportation — links to Week 5 theory.)</w:t>
      </w:r>
      <w:r>
        <w:t xml:space="preserve"> </w:t>
      </w:r>
    </w:p>
    <w:p w14:paraId="552AE08D" w14:textId="46F600D6" w:rsidR="0074657B" w:rsidRDefault="0074657B" w:rsidP="0074657B">
      <w:pPr>
        <w:rPr>
          <w:rStyle w:val="Emphasis"/>
        </w:rPr>
      </w:pPr>
      <w:r>
        <w:t xml:space="preserve">Damasio, A. (1994). </w:t>
      </w:r>
      <w:r>
        <w:rPr>
          <w:rStyle w:val="Emphasis"/>
        </w:rPr>
        <w:t>Descartes' Error</w:t>
      </w:r>
      <w:r>
        <w:t xml:space="preserve">. Putnam. </w:t>
      </w:r>
      <w:r>
        <w:rPr>
          <w:rStyle w:val="Emphasis"/>
        </w:rPr>
        <w:t>(Chapters 1 &amp; 8; the somatic marker hypothesis underpins why emotion is not separate from rational decision-making.)</w:t>
      </w:r>
    </w:p>
    <w:p w14:paraId="62A175E5" w14:textId="58B342ED" w:rsidR="0074657B" w:rsidRDefault="0074657B" w:rsidP="0074657B">
      <w:pPr>
        <w:rPr>
          <w:lang w:val="en-ZA"/>
        </w:rPr>
      </w:pPr>
      <w:r>
        <w:t xml:space="preserve">Cialdini, R.B. (2007). </w:t>
      </w:r>
      <w:r>
        <w:rPr>
          <w:rStyle w:val="Emphasis"/>
        </w:rPr>
        <w:t>Influence: The Psychology of Persuasion</w:t>
      </w:r>
      <w:r>
        <w:t xml:space="preserve"> (revised ed.). Collins. </w:t>
      </w:r>
      <w:r>
        <w:rPr>
          <w:rStyle w:val="Emphasis"/>
        </w:rPr>
        <w:t>(Chapter 1 on 'weapons of influence' as ethical frame-setter.)</w:t>
      </w:r>
      <w:r>
        <w:t xml:space="preserve"> </w:t>
      </w:r>
    </w:p>
    <w:p w14:paraId="6734B5B2" w14:textId="6C349503" w:rsidR="0074657B" w:rsidRDefault="0074657B" w:rsidP="0074657B">
      <w:r>
        <w:t xml:space="preserve">Bowen, F. (2014). </w:t>
      </w:r>
      <w:r>
        <w:rPr>
          <w:rStyle w:val="Emphasis"/>
        </w:rPr>
        <w:t>After Greenwashing: Symbolic Corporate Environmentalism and Society</w:t>
      </w:r>
      <w:r>
        <w:t xml:space="preserve">. Cambridge University Press. </w:t>
      </w:r>
      <w:r>
        <w:rPr>
          <w:rStyle w:val="Emphasis"/>
        </w:rPr>
        <w:t>(Chapters 1–2.)</w:t>
      </w:r>
      <w:r>
        <w:t xml:space="preserve"> </w:t>
      </w:r>
    </w:p>
    <w:p w14:paraId="6C2B4FE5" w14:textId="6E901D24" w:rsidR="0074657B" w:rsidRDefault="0074657B" w:rsidP="0074657B">
      <w:r>
        <w:t xml:space="preserve">Lyon, T.P. &amp; Montgomery, A.W. (2015). "The Means and End of Greenwash." </w:t>
      </w:r>
      <w:r>
        <w:rPr>
          <w:rStyle w:val="Emphasis"/>
        </w:rPr>
        <w:t>Organization &amp; Environment</w:t>
      </w:r>
      <w:r>
        <w:t xml:space="preserve">, 28(2), 223–249. </w:t>
      </w:r>
      <w:r>
        <w:rPr>
          <w:rStyle w:val="Emphasis"/>
        </w:rPr>
        <w:t>(Empirically grounded typology of greenwashing.)</w:t>
      </w:r>
      <w:r>
        <w:t xml:space="preserve"> </w:t>
      </w:r>
    </w:p>
    <w:p w14:paraId="2D884B2F" w14:textId="5395EA2C" w:rsidR="0074657B" w:rsidRDefault="0074657B" w:rsidP="0074657B">
      <w:pPr>
        <w:rPr>
          <w:rStyle w:val="Emphasis"/>
        </w:rPr>
      </w:pPr>
      <w:r>
        <w:t xml:space="preserve">Fawkes, J. (2012). "Saints and Sinners: Competing Identities in Public Relations Ethics." </w:t>
      </w:r>
      <w:r>
        <w:rPr>
          <w:rStyle w:val="Emphasis"/>
        </w:rPr>
        <w:t>Public Relations Review</w:t>
      </w:r>
      <w:r>
        <w:t xml:space="preserve">, 38(5), 865–872. </w:t>
      </w:r>
      <w:r>
        <w:rPr>
          <w:rStyle w:val="Emphasis"/>
        </w:rPr>
        <w:t>(Useful on manipulation vs. persuasion distinction.)</w:t>
      </w:r>
    </w:p>
    <w:p w14:paraId="04BA0C33" w14:textId="0A68F6B5" w:rsidR="0074657B" w:rsidRDefault="0074657B" w:rsidP="0074657B">
      <w:pPr>
        <w:rPr>
          <w:lang w:val="en-ZA"/>
        </w:rPr>
      </w:pPr>
      <w:proofErr w:type="spellStart"/>
      <w:r>
        <w:t>Entman</w:t>
      </w:r>
      <w:proofErr w:type="spellEnd"/>
      <w:r>
        <w:t xml:space="preserve">, R.M. (1993). "Framing: Toward Clarification of a Fractured Paradigm." </w:t>
      </w:r>
      <w:r>
        <w:rPr>
          <w:rStyle w:val="Emphasis"/>
        </w:rPr>
        <w:t>Journal of Communication</w:t>
      </w:r>
      <w:r>
        <w:t xml:space="preserve">, 43(4), 51–58. </w:t>
      </w:r>
      <w:r>
        <w:rPr>
          <w:rStyle w:val="Emphasis"/>
        </w:rPr>
        <w:t>(The canonical framing theory paper — short and dense.)</w:t>
      </w:r>
      <w:r>
        <w:t xml:space="preserve"> </w:t>
      </w:r>
    </w:p>
    <w:p w14:paraId="7072B8A5" w14:textId="29570A34" w:rsidR="0074657B" w:rsidRDefault="0074657B" w:rsidP="0074657B">
      <w:r>
        <w:t xml:space="preserve">McCombs, M. &amp; Shaw, D.L. (1972). "The Agenda-Setting Function of Mass Media." </w:t>
      </w:r>
      <w:r>
        <w:rPr>
          <w:rStyle w:val="Emphasis"/>
        </w:rPr>
        <w:t>Public Opinion Quarterly</w:t>
      </w:r>
      <w:r>
        <w:t xml:space="preserve">, 36(2), 176–187. </w:t>
      </w:r>
      <w:r>
        <w:rPr>
          <w:rStyle w:val="Emphasis"/>
        </w:rPr>
        <w:t xml:space="preserve">(Foundational; pairs well with </w:t>
      </w:r>
      <w:proofErr w:type="spellStart"/>
      <w:r>
        <w:rPr>
          <w:rStyle w:val="Emphasis"/>
        </w:rPr>
        <w:t>Entman</w:t>
      </w:r>
      <w:proofErr w:type="spellEnd"/>
      <w:r>
        <w:rPr>
          <w:rStyle w:val="Emphasis"/>
        </w:rPr>
        <w:t>.)</w:t>
      </w:r>
      <w:r>
        <w:t xml:space="preserve"> </w:t>
      </w:r>
    </w:p>
    <w:p w14:paraId="7C229403" w14:textId="17295217" w:rsidR="0074657B" w:rsidRDefault="0074657B" w:rsidP="0074657B">
      <w:r>
        <w:t xml:space="preserve">Green, M.C. &amp; Brock (2000) — </w:t>
      </w:r>
      <w:r>
        <w:rPr>
          <w:rStyle w:val="Emphasis"/>
        </w:rPr>
        <w:t>see Week 3</w:t>
      </w:r>
      <w:r>
        <w:t xml:space="preserve"> </w:t>
      </w:r>
      <w:r>
        <w:rPr>
          <w:rStyle w:val="Emphasis"/>
        </w:rPr>
        <w:t>(Now assigned as theory, not just psychology.)</w:t>
      </w:r>
      <w:r>
        <w:t xml:space="preserve"> </w:t>
      </w:r>
    </w:p>
    <w:p w14:paraId="66231C85" w14:textId="39C9AA07" w:rsidR="0074657B" w:rsidRDefault="0074657B" w:rsidP="0074657B">
      <w:pPr>
        <w:rPr>
          <w:rStyle w:val="Emphasis"/>
        </w:rPr>
      </w:pPr>
      <w:r>
        <w:t xml:space="preserve">Corbett, E.P.J. &amp; Connors, R.J. (1999). </w:t>
      </w:r>
      <w:r>
        <w:rPr>
          <w:rStyle w:val="Emphasis"/>
        </w:rPr>
        <w:t>Classical Rhetoric for the Modern Student</w:t>
      </w:r>
      <w:r>
        <w:t xml:space="preserve"> (4th ed.). Oxford. </w:t>
      </w:r>
      <w:r>
        <w:rPr>
          <w:rStyle w:val="Emphasis"/>
        </w:rPr>
        <w:t>(Excerpts; bridges Aristotle to contemporary practice.)</w:t>
      </w:r>
    </w:p>
    <w:p w14:paraId="09C312E8" w14:textId="5E01EE6E" w:rsidR="0074657B" w:rsidRDefault="0074657B" w:rsidP="0074657B">
      <w:pPr>
        <w:rPr>
          <w:lang w:val="en-ZA"/>
        </w:rPr>
      </w:pPr>
      <w:r>
        <w:t xml:space="preserve">Meadows, D.H. (2008). </w:t>
      </w:r>
      <w:r>
        <w:rPr>
          <w:rStyle w:val="Emphasis"/>
        </w:rPr>
        <w:t>Thinking in Systems: A Primer</w:t>
      </w:r>
      <w:r>
        <w:t xml:space="preserve">. Chelsea Green. </w:t>
      </w:r>
      <w:r>
        <w:rPr>
          <w:rStyle w:val="Emphasis"/>
        </w:rPr>
        <w:t>(Chapters 1–3; essential for Systems Change Narrative.)</w:t>
      </w:r>
      <w:r>
        <w:t xml:space="preserve"> </w:t>
      </w:r>
    </w:p>
    <w:p w14:paraId="1BB90D73" w14:textId="33696AFA" w:rsidR="0074657B" w:rsidRDefault="0074657B" w:rsidP="0074657B">
      <w:r>
        <w:t xml:space="preserve">Rogers, P. (2014). "Theory of Change." </w:t>
      </w:r>
      <w:r>
        <w:rPr>
          <w:rStyle w:val="Emphasis"/>
        </w:rPr>
        <w:t>Methodological Briefs: Impact Evaluation 2</w:t>
      </w:r>
      <w:r>
        <w:t xml:space="preserve">. UNICEF Office of Research. </w:t>
      </w:r>
      <w:r>
        <w:rPr>
          <w:rStyle w:val="Emphasis"/>
        </w:rPr>
        <w:t>(Clear, practitioner-oriented; freely available online.)</w:t>
      </w:r>
      <w:r>
        <w:t xml:space="preserve"> </w:t>
      </w:r>
    </w:p>
    <w:p w14:paraId="606DD07B" w14:textId="2EC85936" w:rsidR="0074657B" w:rsidRDefault="0074657B" w:rsidP="0074657B">
      <w:pPr>
        <w:rPr>
          <w:rStyle w:val="Emphasis"/>
        </w:rPr>
      </w:pPr>
      <w:r>
        <w:t xml:space="preserve">Minto, B. (2008). </w:t>
      </w:r>
      <w:r>
        <w:rPr>
          <w:rStyle w:val="Emphasis"/>
        </w:rPr>
        <w:t>The Pyramid Principle</w:t>
      </w:r>
      <w:r>
        <w:t xml:space="preserve"> (3rd ed.). FT Prentice Hall. </w:t>
      </w:r>
      <w:r>
        <w:rPr>
          <w:rStyle w:val="Emphasis"/>
        </w:rPr>
        <w:t>(Chapter 1; the logical underpinning of Problem–Solution–Impact structure.)</w:t>
      </w:r>
    </w:p>
    <w:p w14:paraId="63F9FDD9" w14:textId="1BD173A9" w:rsidR="0074657B" w:rsidRDefault="0074657B" w:rsidP="0074657B">
      <w:pPr>
        <w:rPr>
          <w:lang w:val="en-ZA"/>
        </w:rPr>
      </w:pPr>
      <w:r>
        <w:t xml:space="preserve">Freeman, R.E. (1984). </w:t>
      </w:r>
      <w:r>
        <w:rPr>
          <w:rStyle w:val="Emphasis"/>
        </w:rPr>
        <w:t>Strategic Management: A Stakeholder Approach</w:t>
      </w:r>
      <w:r>
        <w:t xml:space="preserve">. Pitman. </w:t>
      </w:r>
      <w:r>
        <w:rPr>
          <w:rStyle w:val="Emphasis"/>
        </w:rPr>
        <w:t>(Chapter 2 on stakeholder mapping — the theoretical base for stakeholder-centred narrative.)</w:t>
      </w:r>
      <w:r>
        <w:t xml:space="preserve"> </w:t>
      </w:r>
    </w:p>
    <w:p w14:paraId="088C5B9B" w14:textId="3C6F12C1" w:rsidR="0074657B" w:rsidRDefault="0074657B" w:rsidP="0074657B">
      <w:r>
        <w:t xml:space="preserve">Emerson, J. (2003). "The Blended Value Proposition." </w:t>
      </w:r>
      <w:r>
        <w:rPr>
          <w:rStyle w:val="Emphasis"/>
        </w:rPr>
        <w:t>California Management Review</w:t>
      </w:r>
      <w:r>
        <w:t xml:space="preserve">, 45(4), 35–51. </w:t>
      </w:r>
      <w:r>
        <w:rPr>
          <w:rStyle w:val="Emphasis"/>
        </w:rPr>
        <w:t>(The original blended value paper.)</w:t>
      </w:r>
      <w:r>
        <w:t xml:space="preserve"> </w:t>
      </w:r>
    </w:p>
    <w:p w14:paraId="4028619D" w14:textId="3891044E" w:rsidR="0074657B" w:rsidRDefault="0074657B" w:rsidP="0074657B">
      <w:r>
        <w:t xml:space="preserve">Sandel, M.J. (2009). </w:t>
      </w:r>
      <w:r>
        <w:rPr>
          <w:rStyle w:val="Emphasis"/>
        </w:rPr>
        <w:t>Justice: What's the Right Thing to Do?</w:t>
      </w:r>
      <w:r>
        <w:t xml:space="preserve"> Farrar, Straus and Giroux. </w:t>
      </w:r>
      <w:r>
        <w:rPr>
          <w:rStyle w:val="Emphasis"/>
        </w:rPr>
        <w:t>(Chapters 1–2 for ethical trade-off framing — accessible and provocative for students.)</w:t>
      </w:r>
    </w:p>
    <w:p w14:paraId="2BC9868F" w14:textId="5DF8727F" w:rsidR="0074657B" w:rsidRDefault="0074657B" w:rsidP="0074657B">
      <w:pPr>
        <w:rPr>
          <w:lang w:val="en-ZA"/>
        </w:rPr>
      </w:pPr>
      <w:r>
        <w:lastRenderedPageBreak/>
        <w:t xml:space="preserve">Sinek, S. (2009). </w:t>
      </w:r>
      <w:r>
        <w:rPr>
          <w:rStyle w:val="Emphasis"/>
        </w:rPr>
        <w:t>Start With Why</w:t>
      </w:r>
      <w:r>
        <w:t xml:space="preserve">. Portfolio. </w:t>
      </w:r>
      <w:r>
        <w:rPr>
          <w:rStyle w:val="Emphasis"/>
        </w:rPr>
        <w:t>(Chapter 3; pairs with the TED talk for students who want the accessible version. Assign critically — discuss what the framework misses.)</w:t>
      </w:r>
      <w:r>
        <w:t xml:space="preserve"> </w:t>
      </w:r>
    </w:p>
    <w:p w14:paraId="6D3BDE09" w14:textId="3588D8CA" w:rsidR="0074657B" w:rsidRDefault="0074657B" w:rsidP="0074657B">
      <w:r>
        <w:t xml:space="preserve">Inayatullah, S. (2008). "Six Pillars: Futures Thinking for Transforming." </w:t>
      </w:r>
      <w:r>
        <w:rPr>
          <w:rStyle w:val="Emphasis"/>
        </w:rPr>
        <w:t>Foresight</w:t>
      </w:r>
      <w:r>
        <w:t xml:space="preserve">, 10(1), 4–21. </w:t>
      </w:r>
      <w:r>
        <w:rPr>
          <w:rStyle w:val="Emphasis"/>
        </w:rPr>
        <w:t>(Futures scenario methodology with normative framing.)</w:t>
      </w:r>
      <w:r>
        <w:t xml:space="preserve"> </w:t>
      </w:r>
    </w:p>
    <w:p w14:paraId="32C61F5B" w14:textId="055D346A" w:rsidR="00FC2981" w:rsidRDefault="0074657B" w:rsidP="0074657B">
      <w:pPr>
        <w:rPr>
          <w:rStyle w:val="Emphasis"/>
        </w:rPr>
      </w:pPr>
      <w:r>
        <w:t xml:space="preserve">Kothari, A. et al. (2019). </w:t>
      </w:r>
      <w:r>
        <w:rPr>
          <w:rStyle w:val="Emphasis"/>
        </w:rPr>
        <w:t>Pluriverse: A Post-Development Dictionary</w:t>
      </w:r>
      <w:r>
        <w:t xml:space="preserve">. Tulika Books. </w:t>
      </w:r>
      <w:r>
        <w:rPr>
          <w:rStyle w:val="Emphasis"/>
        </w:rPr>
        <w:t>(Selected entries; introduces global justice and non-Western development framings.)</w:t>
      </w:r>
    </w:p>
    <w:p w14:paraId="722FC8A7" w14:textId="43ED7280" w:rsidR="0074657B" w:rsidRDefault="0074657B" w:rsidP="0074657B">
      <w:pPr>
        <w:rPr>
          <w:lang w:val="en-ZA"/>
        </w:rPr>
      </w:pPr>
      <w:r>
        <w:t xml:space="preserve">Few, S. (2012). </w:t>
      </w:r>
      <w:r>
        <w:rPr>
          <w:rStyle w:val="Emphasis"/>
        </w:rPr>
        <w:t>Show Me the Numbers</w:t>
      </w:r>
      <w:r>
        <w:t xml:space="preserve"> (2nd ed.). Analytics Press. </w:t>
      </w:r>
      <w:r>
        <w:rPr>
          <w:rStyle w:val="Emphasis"/>
        </w:rPr>
        <w:t>(Chapter 2 on data communication principles.)</w:t>
      </w:r>
      <w:r>
        <w:t xml:space="preserve"> </w:t>
      </w:r>
    </w:p>
    <w:p w14:paraId="2E31AF65" w14:textId="2E188737" w:rsidR="0074657B" w:rsidRDefault="0074657B" w:rsidP="0074657B">
      <w:proofErr w:type="spellStart"/>
      <w:r>
        <w:t>Krznaric</w:t>
      </w:r>
      <w:proofErr w:type="spellEnd"/>
      <w:r>
        <w:t xml:space="preserve">, R. (2011). "How Change Happens: Interdisciplinary Perspectives for Human Development." Oxfam Research Report. </w:t>
      </w:r>
      <w:r>
        <w:rPr>
          <w:rStyle w:val="Emphasis"/>
        </w:rPr>
        <w:t>(Available free online; bridges evidence and narrative in development contexts.)</w:t>
      </w:r>
      <w:r>
        <w:t xml:space="preserve"> </w:t>
      </w:r>
    </w:p>
    <w:p w14:paraId="432291C7" w14:textId="08B5ADEE" w:rsidR="0074657B" w:rsidRDefault="0074657B" w:rsidP="0074657B">
      <w:r>
        <w:t xml:space="preserve">Aaker, J. &amp; Smith, A. (2010). </w:t>
      </w:r>
      <w:r>
        <w:rPr>
          <w:rStyle w:val="Emphasis"/>
        </w:rPr>
        <w:t>The Dragonfly Effect</w:t>
      </w:r>
      <w:r>
        <w:t xml:space="preserve">. Jossey-Bass. </w:t>
      </w:r>
      <w:r>
        <w:rPr>
          <w:rStyle w:val="Emphasis"/>
        </w:rPr>
        <w:t>(Chapter 4 on the 'tell a story' principle with data — accessible and practitioner-relevant.)</w:t>
      </w:r>
      <w:r>
        <w:t xml:space="preserve"> </w:t>
      </w:r>
    </w:p>
    <w:p w14:paraId="36714280" w14:textId="22B41AA5" w:rsidR="0074657B" w:rsidRDefault="0074657B" w:rsidP="0074657B">
      <w:pPr>
        <w:rPr>
          <w:rStyle w:val="Emphasis"/>
        </w:rPr>
      </w:pPr>
      <w:r>
        <w:t xml:space="preserve">Hullman, J. &amp; </w:t>
      </w:r>
      <w:proofErr w:type="spellStart"/>
      <w:r>
        <w:t>Diakopoulos</w:t>
      </w:r>
      <w:proofErr w:type="spellEnd"/>
      <w:r>
        <w:t xml:space="preserve">, N. (2011). "Visualization Rhetoric: Framing Effects in Narrative Visualization." </w:t>
      </w:r>
      <w:r>
        <w:rPr>
          <w:rStyle w:val="Emphasis"/>
        </w:rPr>
        <w:t>IEEE Transactions on Visualization and Computer Graphics</w:t>
      </w:r>
      <w:r>
        <w:t xml:space="preserve">, 17(12), 2231–2240. </w:t>
      </w:r>
      <w:r>
        <w:rPr>
          <w:rStyle w:val="Emphasis"/>
        </w:rPr>
        <w:t>(For the more analytically inclined students.)</w:t>
      </w:r>
    </w:p>
    <w:p w14:paraId="617445B1" w14:textId="569FD69F" w:rsidR="0074657B" w:rsidRDefault="0074657B" w:rsidP="0074657B">
      <w:pPr>
        <w:rPr>
          <w:lang w:val="en-ZA"/>
        </w:rPr>
      </w:pPr>
      <w:r>
        <w:t xml:space="preserve">Reynolds, G. (2008). </w:t>
      </w:r>
      <w:r>
        <w:rPr>
          <w:rStyle w:val="Emphasis"/>
        </w:rPr>
        <w:t>Presentation Zen</w:t>
      </w:r>
      <w:r>
        <w:t xml:space="preserve">. New Riders. </w:t>
      </w:r>
      <w:r>
        <w:rPr>
          <w:rStyle w:val="Emphasis"/>
        </w:rPr>
        <w:t>(Chapters 1, 5 &amp; 6; the visual communication classic.)</w:t>
      </w:r>
      <w:r>
        <w:t xml:space="preserve"> </w:t>
      </w:r>
    </w:p>
    <w:p w14:paraId="44A29063" w14:textId="64A50658" w:rsidR="0074657B" w:rsidRDefault="0074657B" w:rsidP="0074657B">
      <w:r>
        <w:t xml:space="preserve">Duarte, N. (2010). </w:t>
      </w:r>
      <w:r>
        <w:rPr>
          <w:rStyle w:val="Emphasis"/>
        </w:rPr>
        <w:t>Resonate: Present Visual Stories that Transform Audiences</w:t>
      </w:r>
      <w:r>
        <w:t xml:space="preserve">. Wiley. </w:t>
      </w:r>
      <w:r>
        <w:rPr>
          <w:rStyle w:val="Emphasis"/>
        </w:rPr>
        <w:t>(Chapter 3 on the sparkline structure — directly relevant to the Pixar Pitch and Before–After–Bridge.)</w:t>
      </w:r>
      <w:r>
        <w:t xml:space="preserve"> </w:t>
      </w:r>
    </w:p>
    <w:p w14:paraId="2B89EDD3" w14:textId="1DC9FE1B" w:rsidR="0074657B" w:rsidRDefault="0074657B" w:rsidP="0074657B">
      <w:r>
        <w:t xml:space="preserve">Fogg, B.J. (2003). </w:t>
      </w:r>
      <w:r>
        <w:rPr>
          <w:rStyle w:val="Emphasis"/>
        </w:rPr>
        <w:t>Persuasive Technology</w:t>
      </w:r>
      <w:r>
        <w:t xml:space="preserve">. Morgan Kaufmann. </w:t>
      </w:r>
      <w:r>
        <w:rPr>
          <w:rStyle w:val="Emphasis"/>
        </w:rPr>
        <w:t>(Chapters 1–2 for digital persuasion theory; bridges to social media narrative.)</w:t>
      </w:r>
      <w:r>
        <w:t xml:space="preserve"> </w:t>
      </w:r>
    </w:p>
    <w:p w14:paraId="19C45021" w14:textId="528A2297" w:rsidR="0074657B" w:rsidRDefault="0074657B" w:rsidP="0074657B">
      <w:pPr>
        <w:rPr>
          <w:rStyle w:val="Emphasis"/>
        </w:rPr>
      </w:pPr>
      <w:r>
        <w:t xml:space="preserve">Pixar's 22 Rules of Storytelling (Emma Coats, 2011) — widely reproduced online. </w:t>
      </w:r>
      <w:r>
        <w:rPr>
          <w:rStyle w:val="Emphasis"/>
        </w:rPr>
        <w:t>(One-page handout; useful alongside the Duarte chapter.)</w:t>
      </w:r>
    </w:p>
    <w:p w14:paraId="45FB35CD" w14:textId="7CCD48FE" w:rsidR="0074657B" w:rsidRDefault="0074657B" w:rsidP="0074657B">
      <w:pPr>
        <w:rPr>
          <w:rStyle w:val="Emphasis"/>
        </w:rPr>
      </w:pPr>
      <w:r>
        <w:t xml:space="preserve">Battilana, J. &amp; Dorado, S. (2010). "Building Sustainable Hybrid Organizations." </w:t>
      </w:r>
      <w:r>
        <w:rPr>
          <w:rStyle w:val="Emphasis"/>
        </w:rPr>
        <w:t>Academy of Management Journal</w:t>
      </w:r>
      <w:r>
        <w:t xml:space="preserve">, 53(6), 1419–1440. </w:t>
      </w:r>
      <w:r>
        <w:rPr>
          <w:rStyle w:val="Emphasis"/>
        </w:rPr>
        <w:t>(Background reading so students can interrogate guests meaningfully on the social enterprise/investor tension.)</w:t>
      </w:r>
    </w:p>
    <w:p w14:paraId="6AAA0FE0" w14:textId="1EC50025" w:rsidR="0074657B" w:rsidRDefault="0074657B" w:rsidP="0074657B">
      <w:pPr>
        <w:rPr>
          <w:rStyle w:val="Emphasis"/>
        </w:rPr>
      </w:pPr>
      <w:r>
        <w:t xml:space="preserve">Student self-assessment: Nichols, M.P. (1995). </w:t>
      </w:r>
      <w:r>
        <w:rPr>
          <w:rStyle w:val="Emphasis"/>
        </w:rPr>
        <w:t>The Lost Art of Listening</w:t>
      </w:r>
      <w:r>
        <w:t xml:space="preserve">. Guilford Press. </w:t>
      </w:r>
      <w:r>
        <w:rPr>
          <w:rStyle w:val="Emphasis"/>
        </w:rPr>
        <w:t>(Chapters 1–2; reframes the communication challenge from broadcast to dialogue — a good attitudinal close.)</w:t>
      </w:r>
    </w:p>
    <w:p w14:paraId="39A8DB4C" w14:textId="41834F24" w:rsidR="007F22D4" w:rsidRDefault="007F22D4" w:rsidP="0074657B">
      <w:r>
        <w:t xml:space="preserve">Weick, K. E. (1995). </w:t>
      </w:r>
      <w:r>
        <w:rPr>
          <w:rStyle w:val="Emphasis"/>
        </w:rPr>
        <w:t>Sensemaking in organizations</w:t>
      </w:r>
      <w:r>
        <w:t>. Sage Publications.</w:t>
      </w:r>
      <w:r>
        <w:t xml:space="preserve"> (Chapters 1 and 3)</w:t>
      </w:r>
    </w:p>
    <w:p w14:paraId="7898D43B" w14:textId="64CE054B" w:rsidR="007F22D4" w:rsidRDefault="007F22D4" w:rsidP="0074657B">
      <w:r>
        <w:t xml:space="preserve">Nisbet, M. C. (2009). </w:t>
      </w:r>
      <w:r>
        <w:rPr>
          <w:rStyle w:val="Emphasis"/>
        </w:rPr>
        <w:t>Communicating climate change: Why frames matter for public engagement</w:t>
      </w:r>
      <w:r>
        <w:t xml:space="preserve">. </w:t>
      </w:r>
      <w:r>
        <w:rPr>
          <w:rStyle w:val="Emphasis"/>
        </w:rPr>
        <w:t>Environment: Science and Policy for Sustainable Development, 51</w:t>
      </w:r>
      <w:r>
        <w:t>(2), 12–23.</w:t>
      </w:r>
    </w:p>
    <w:p w14:paraId="276F78DC" w14:textId="77777777" w:rsidR="007F22D4" w:rsidRDefault="007F22D4" w:rsidP="0074657B"/>
    <w:p w14:paraId="53DFE0BB" w14:textId="33842587" w:rsidR="00D6718A" w:rsidRDefault="00D6718A" w:rsidP="00D6718A">
      <w:pPr>
        <w:pStyle w:val="Heading1"/>
        <w:rPr>
          <w:rFonts w:ascii="Arial" w:hAnsi="Arial" w:cs="Arial"/>
        </w:rPr>
      </w:pPr>
      <w:r>
        <w:rPr>
          <w:rFonts w:ascii="Arial" w:hAnsi="Arial" w:cs="Arial"/>
        </w:rPr>
        <w:t>Student preparation for the module</w:t>
      </w:r>
    </w:p>
    <w:p w14:paraId="4E879C96" w14:textId="77777777" w:rsidR="0074657B" w:rsidRPr="0074657B" w:rsidRDefault="0074657B" w:rsidP="0074657B"/>
    <w:p w14:paraId="63039352" w14:textId="2334801F" w:rsidR="006337BE" w:rsidRPr="00D922BE" w:rsidRDefault="006337BE" w:rsidP="006337BE">
      <w:r w:rsidRPr="0074657B">
        <w:t>Students are advised to read recommended articles in advance of each part of the course</w:t>
      </w:r>
      <w:r w:rsidR="0074657B">
        <w:t xml:space="preserve"> they will be listed on blackboard each week</w:t>
      </w:r>
      <w:r w:rsidRPr="0074657B">
        <w:t>.  They will also be expected to contribute to class discussions and participate in class assignments</w:t>
      </w:r>
      <w:r w:rsidR="0074657B">
        <w:t>, and peer feedback</w:t>
      </w:r>
      <w:r w:rsidRPr="0074657B">
        <w:t>.</w:t>
      </w:r>
    </w:p>
    <w:p w14:paraId="68AC6164" w14:textId="77777777" w:rsidR="00FC2981" w:rsidRPr="00FC2981" w:rsidRDefault="00FC2981" w:rsidP="00FC2981"/>
    <w:p w14:paraId="5CFB7BDE" w14:textId="345662F2" w:rsidR="00D6718A" w:rsidRDefault="00D6718A" w:rsidP="00D6718A">
      <w:pPr>
        <w:rPr>
          <w:rFonts w:ascii="Arial" w:hAnsi="Arial" w:cs="Arial"/>
          <w:b/>
          <w:smallCaps/>
        </w:rPr>
      </w:pPr>
      <w:r>
        <w:rPr>
          <w:rFonts w:ascii="Arial" w:hAnsi="Arial" w:cs="Arial"/>
          <w:b/>
          <w:smallCaps/>
        </w:rPr>
        <w:t xml:space="preserve">COURSE COMMUNICATION </w:t>
      </w:r>
    </w:p>
    <w:p w14:paraId="64A360AB" w14:textId="25AFD31C" w:rsidR="00A73B47" w:rsidRDefault="00A73B47" w:rsidP="00D6718A">
      <w:pPr>
        <w:rPr>
          <w:rFonts w:ascii="Arial" w:hAnsi="Arial" w:cs="Arial"/>
          <w:b/>
          <w:smallCaps/>
        </w:rPr>
      </w:pPr>
      <w:r w:rsidRPr="00D922BE">
        <w:t>Lecture slides and readings, assignment descriptions and announcements will be posted on Blackboard</w:t>
      </w:r>
      <w:r>
        <w:t>.</w:t>
      </w:r>
    </w:p>
    <w:p w14:paraId="72FD5F7F" w14:textId="77777777" w:rsidR="0090417E" w:rsidRPr="00994D23" w:rsidRDefault="0090417E" w:rsidP="0090417E">
      <w:pPr>
        <w:rPr>
          <w:rFonts w:ascii="Arial" w:hAnsi="Arial" w:cs="Arial"/>
          <w:b/>
          <w:sz w:val="22"/>
          <w:szCs w:val="22"/>
        </w:rPr>
      </w:pPr>
    </w:p>
    <w:p w14:paraId="7D45917B" w14:textId="77777777" w:rsidR="0090417E" w:rsidRDefault="0090417E" w:rsidP="0090417E">
      <w:pPr>
        <w:rPr>
          <w:rFonts w:ascii="Arial" w:hAnsi="Arial" w:cs="Arial"/>
          <w:b/>
          <w:i/>
          <w:sz w:val="22"/>
          <w:szCs w:val="22"/>
        </w:rPr>
      </w:pPr>
      <w:r w:rsidRPr="004765D6">
        <w:rPr>
          <w:rFonts w:ascii="Arial" w:hAnsi="Arial" w:cs="Arial"/>
          <w:b/>
          <w:i/>
          <w:sz w:val="22"/>
          <w:szCs w:val="22"/>
        </w:rPr>
        <w:t xml:space="preserve">Please note that all course related email communication </w:t>
      </w:r>
      <w:r w:rsidRPr="004765D6">
        <w:rPr>
          <w:rFonts w:ascii="Arial" w:hAnsi="Arial" w:cs="Arial"/>
          <w:b/>
          <w:i/>
          <w:sz w:val="22"/>
          <w:szCs w:val="22"/>
          <w:u w:val="single"/>
        </w:rPr>
        <w:t>must</w:t>
      </w:r>
      <w:r>
        <w:rPr>
          <w:rFonts w:ascii="Arial" w:hAnsi="Arial" w:cs="Arial"/>
          <w:b/>
          <w:i/>
          <w:sz w:val="22"/>
          <w:szCs w:val="22"/>
        </w:rPr>
        <w:t xml:space="preserve"> be sent</w:t>
      </w:r>
      <w:r w:rsidRPr="004765D6">
        <w:rPr>
          <w:rFonts w:ascii="Arial" w:hAnsi="Arial" w:cs="Arial"/>
          <w:b/>
          <w:i/>
          <w:sz w:val="22"/>
          <w:szCs w:val="22"/>
        </w:rPr>
        <w:t xml:space="preserve"> from your official TCD email address. Emails sen</w:t>
      </w:r>
      <w:r>
        <w:rPr>
          <w:rFonts w:ascii="Arial" w:hAnsi="Arial" w:cs="Arial"/>
          <w:b/>
          <w:i/>
          <w:sz w:val="22"/>
          <w:szCs w:val="22"/>
        </w:rPr>
        <w:t>t</w:t>
      </w:r>
      <w:r w:rsidRPr="004765D6">
        <w:rPr>
          <w:rFonts w:ascii="Arial" w:hAnsi="Arial" w:cs="Arial"/>
          <w:b/>
          <w:i/>
          <w:sz w:val="22"/>
          <w:szCs w:val="22"/>
        </w:rPr>
        <w:t xml:space="preserve"> from other addresses will not be attended to.</w:t>
      </w:r>
    </w:p>
    <w:p w14:paraId="70EB0FBF" w14:textId="77777777" w:rsidR="0090417E" w:rsidRDefault="0090417E" w:rsidP="0090417E">
      <w:pPr>
        <w:rPr>
          <w:rFonts w:ascii="Arial" w:hAnsi="Arial" w:cs="Arial"/>
          <w:b/>
        </w:rPr>
      </w:pPr>
    </w:p>
    <w:p w14:paraId="7FF278A1" w14:textId="77777777" w:rsidR="00D6718A" w:rsidRDefault="00D6718A" w:rsidP="00D6718A">
      <w:pPr>
        <w:pStyle w:val="BodyText2"/>
        <w:jc w:val="both"/>
        <w:rPr>
          <w:rFonts w:ascii="Arial" w:hAnsi="Arial" w:cs="Arial"/>
          <w:b/>
          <w:i w:val="0"/>
          <w:iCs w:val="0"/>
          <w:sz w:val="24"/>
        </w:rPr>
      </w:pPr>
      <w:r>
        <w:rPr>
          <w:rFonts w:ascii="Arial" w:hAnsi="Arial" w:cs="Arial"/>
          <w:b/>
          <w:i w:val="0"/>
          <w:iCs w:val="0"/>
          <w:sz w:val="24"/>
        </w:rPr>
        <w:lastRenderedPageBreak/>
        <w:t>ASSESSMENT</w:t>
      </w:r>
    </w:p>
    <w:p w14:paraId="69DB1BAF" w14:textId="725157DC" w:rsidR="00692C08" w:rsidRDefault="00692C08" w:rsidP="00692C08">
      <w:r w:rsidRPr="00F85FE3">
        <w:t xml:space="preserve">The assessment for this course </w:t>
      </w:r>
      <w:r w:rsidR="0074657B">
        <w:t xml:space="preserve">the </w:t>
      </w:r>
      <w:r w:rsidRPr="00F85FE3">
        <w:t>breakdown is as follows:</w:t>
      </w:r>
    </w:p>
    <w:p w14:paraId="05CF82D3" w14:textId="77777777" w:rsidR="0074657B" w:rsidRDefault="0074657B" w:rsidP="00692C08"/>
    <w:p w14:paraId="69B8B474" w14:textId="77777777" w:rsidR="0074657B" w:rsidRDefault="0074657B" w:rsidP="0074657B">
      <w:pPr>
        <w:spacing w:before="80" w:after="80"/>
      </w:pPr>
      <w:r>
        <w:rPr>
          <w:rFonts w:ascii="Arial" w:eastAsia="Arial" w:hAnsi="Arial" w:cs="Arial"/>
          <w:sz w:val="22"/>
          <w:szCs w:val="22"/>
        </w:rPr>
        <w:t>Assessment is entirely practice-based and portfolio-driven, with no traditional examinations. All written work is submitted digitally via Blackboard/Turnitin. The assessment design prioritises academic rigour, AI-resilience, and authentic demonstration of applied communication competence.</w:t>
      </w:r>
    </w:p>
    <w:p w14:paraId="6DEFA3E0" w14:textId="77777777" w:rsidR="0074657B" w:rsidRDefault="0074657B" w:rsidP="0074657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5"/>
        <w:gridCol w:w="907"/>
        <w:gridCol w:w="4679"/>
        <w:gridCol w:w="1789"/>
      </w:tblGrid>
      <w:tr w:rsidR="0074657B" w14:paraId="4A0EFB96" w14:textId="77777777" w:rsidTr="009A5F89">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1A5C38"/>
            <w:tcMar>
              <w:top w:w="80" w:type="dxa"/>
              <w:left w:w="120" w:type="dxa"/>
              <w:bottom w:w="80" w:type="dxa"/>
              <w:right w:w="120" w:type="dxa"/>
            </w:tcMar>
          </w:tcPr>
          <w:p w14:paraId="1D6EAB22" w14:textId="77777777" w:rsidR="0074657B" w:rsidRDefault="0074657B" w:rsidP="009A5F89">
            <w:r>
              <w:rPr>
                <w:rFonts w:ascii="Arial" w:eastAsia="Arial" w:hAnsi="Arial" w:cs="Arial"/>
                <w:b/>
                <w:bCs/>
                <w:color w:val="FFFFFF"/>
                <w:sz w:val="20"/>
                <w:szCs w:val="20"/>
              </w:rPr>
              <w:t>Assessment</w:t>
            </w:r>
          </w:p>
        </w:tc>
        <w:tc>
          <w:tcPr>
            <w:tcW w:w="800" w:type="dxa"/>
            <w:tcBorders>
              <w:top w:val="single" w:sz="1" w:space="0" w:color="CCCCCC"/>
              <w:left w:val="single" w:sz="1" w:space="0" w:color="CCCCCC"/>
              <w:bottom w:val="single" w:sz="1" w:space="0" w:color="CCCCCC"/>
              <w:right w:val="single" w:sz="1" w:space="0" w:color="CCCCCC"/>
            </w:tcBorders>
            <w:shd w:val="clear" w:color="auto" w:fill="1A5C38"/>
            <w:tcMar>
              <w:top w:w="80" w:type="dxa"/>
              <w:left w:w="120" w:type="dxa"/>
              <w:bottom w:w="80" w:type="dxa"/>
              <w:right w:w="120" w:type="dxa"/>
            </w:tcMar>
          </w:tcPr>
          <w:p w14:paraId="39A7FA43" w14:textId="77777777" w:rsidR="0074657B" w:rsidRDefault="0074657B" w:rsidP="009A5F89">
            <w:r>
              <w:rPr>
                <w:rFonts w:ascii="Arial" w:eastAsia="Arial" w:hAnsi="Arial" w:cs="Arial"/>
                <w:b/>
                <w:bCs/>
                <w:color w:val="FFFFFF"/>
                <w:sz w:val="20"/>
                <w:szCs w:val="20"/>
              </w:rPr>
              <w:t>Weight</w:t>
            </w:r>
          </w:p>
        </w:tc>
        <w:tc>
          <w:tcPr>
            <w:tcW w:w="4760" w:type="dxa"/>
            <w:tcBorders>
              <w:top w:val="single" w:sz="1" w:space="0" w:color="CCCCCC"/>
              <w:left w:val="single" w:sz="1" w:space="0" w:color="CCCCCC"/>
              <w:bottom w:val="single" w:sz="1" w:space="0" w:color="CCCCCC"/>
              <w:right w:val="single" w:sz="1" w:space="0" w:color="CCCCCC"/>
            </w:tcBorders>
            <w:shd w:val="clear" w:color="auto" w:fill="1A5C38"/>
            <w:tcMar>
              <w:top w:w="80" w:type="dxa"/>
              <w:left w:w="120" w:type="dxa"/>
              <w:bottom w:w="80" w:type="dxa"/>
              <w:right w:w="120" w:type="dxa"/>
            </w:tcMar>
          </w:tcPr>
          <w:p w14:paraId="7C38BE0B" w14:textId="77777777" w:rsidR="0074657B" w:rsidRDefault="0074657B" w:rsidP="009A5F89">
            <w:r>
              <w:rPr>
                <w:rFonts w:ascii="Arial" w:eastAsia="Arial" w:hAnsi="Arial" w:cs="Arial"/>
                <w:b/>
                <w:bCs/>
                <w:color w:val="FFFFFF"/>
                <w:sz w:val="20"/>
                <w:szCs w:val="20"/>
              </w:rPr>
              <w:t>Description</w:t>
            </w:r>
          </w:p>
        </w:tc>
        <w:tc>
          <w:tcPr>
            <w:tcW w:w="1800" w:type="dxa"/>
            <w:tcBorders>
              <w:top w:val="single" w:sz="1" w:space="0" w:color="CCCCCC"/>
              <w:left w:val="single" w:sz="1" w:space="0" w:color="CCCCCC"/>
              <w:bottom w:val="single" w:sz="1" w:space="0" w:color="CCCCCC"/>
              <w:right w:val="single" w:sz="1" w:space="0" w:color="CCCCCC"/>
            </w:tcBorders>
            <w:shd w:val="clear" w:color="auto" w:fill="1A5C38"/>
            <w:tcMar>
              <w:top w:w="80" w:type="dxa"/>
              <w:left w:w="120" w:type="dxa"/>
              <w:bottom w:w="80" w:type="dxa"/>
              <w:right w:w="120" w:type="dxa"/>
            </w:tcMar>
          </w:tcPr>
          <w:p w14:paraId="27DFA6CE" w14:textId="77777777" w:rsidR="0074657B" w:rsidRDefault="0074657B" w:rsidP="009A5F89">
            <w:r>
              <w:rPr>
                <w:rFonts w:ascii="Arial" w:eastAsia="Arial" w:hAnsi="Arial" w:cs="Arial"/>
                <w:b/>
                <w:bCs/>
                <w:color w:val="FFFFFF"/>
                <w:sz w:val="20"/>
                <w:szCs w:val="20"/>
              </w:rPr>
              <w:t>Submission</w:t>
            </w:r>
          </w:p>
        </w:tc>
      </w:tr>
      <w:tr w:rsidR="0074657B" w14:paraId="48992848" w14:textId="77777777" w:rsidTr="009A5F89">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D67FA9" w14:textId="77777777" w:rsidR="0074657B" w:rsidRDefault="0074657B" w:rsidP="009A5F89">
            <w:r>
              <w:rPr>
                <w:rFonts w:ascii="Arial" w:eastAsia="Arial" w:hAnsi="Arial" w:cs="Arial"/>
                <w:b/>
                <w:bCs/>
                <w:color w:val="000000"/>
                <w:sz w:val="20"/>
                <w:szCs w:val="20"/>
              </w:rPr>
              <w:t>Assessment 1</w:t>
            </w:r>
          </w:p>
          <w:p w14:paraId="2EEC4BE4" w14:textId="77777777" w:rsidR="0074657B" w:rsidRDefault="0074657B" w:rsidP="009A5F89">
            <w:r>
              <w:rPr>
                <w:rFonts w:ascii="Arial" w:eastAsia="Arial" w:hAnsi="Arial" w:cs="Arial"/>
                <w:color w:val="000000"/>
                <w:sz w:val="20"/>
                <w:szCs w:val="20"/>
              </w:rPr>
              <w:t>Impact Narrative Portfolio</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2826F8" w14:textId="77777777" w:rsidR="0074657B" w:rsidRDefault="0074657B" w:rsidP="009A5F89">
            <w:r>
              <w:rPr>
                <w:rFonts w:ascii="Arial" w:eastAsia="Arial" w:hAnsi="Arial" w:cs="Arial"/>
                <w:color w:val="000000"/>
                <w:sz w:val="20"/>
                <w:szCs w:val="20"/>
              </w:rPr>
              <w:t>40%</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6BDA53" w14:textId="77777777" w:rsidR="0074657B" w:rsidRDefault="0074657B" w:rsidP="009A5F89">
            <w:r>
              <w:rPr>
                <w:rFonts w:ascii="Arial" w:eastAsia="Arial" w:hAnsi="Arial" w:cs="Arial"/>
                <w:color w:val="000000"/>
                <w:sz w:val="20"/>
                <w:szCs w:val="20"/>
              </w:rPr>
              <w:t xml:space="preserve">A portfolio of three stakeholder-specific narratives addressing a sustainability challenge, venture, or initiative. Each narrative is accompanied by a rationale covering audience choice, framework selection, ethical considerations, and communication strategy. Designed with AI-resilience in mind: each narrative is anchored in the student’s specific real-world project and </w:t>
            </w:r>
            <w:r w:rsidRPr="0051789F">
              <w:rPr>
                <w:color w:val="000000"/>
                <w:sz w:val="20"/>
                <w:szCs w:val="20"/>
              </w:rPr>
              <w:t>requires documented iterative development, peer critique, supervision feedback, and evidence of revision as part of the development process.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A38104" w14:textId="77777777" w:rsidR="0074657B" w:rsidRDefault="0074657B" w:rsidP="009A5F89">
            <w:r>
              <w:rPr>
                <w:rFonts w:ascii="Arial" w:eastAsia="Arial" w:hAnsi="Arial" w:cs="Arial"/>
                <w:color w:val="000000"/>
                <w:sz w:val="20"/>
                <w:szCs w:val="20"/>
              </w:rPr>
              <w:t xml:space="preserve">End of Semester 1 </w:t>
            </w:r>
          </w:p>
        </w:tc>
      </w:tr>
      <w:tr w:rsidR="0074657B" w14:paraId="11B6FD18" w14:textId="77777777" w:rsidTr="009A5F89">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6AB23FB" w14:textId="77777777" w:rsidR="0074657B" w:rsidRDefault="0074657B" w:rsidP="009A5F89">
            <w:r>
              <w:rPr>
                <w:rFonts w:ascii="Arial" w:eastAsia="Arial" w:hAnsi="Arial" w:cs="Arial"/>
                <w:b/>
                <w:bCs/>
                <w:color w:val="000000"/>
                <w:sz w:val="20"/>
                <w:szCs w:val="20"/>
              </w:rPr>
              <w:t>Assessment 2</w:t>
            </w:r>
          </w:p>
          <w:p w14:paraId="5E901525" w14:textId="77777777" w:rsidR="0074657B" w:rsidRDefault="0074657B" w:rsidP="009A5F89">
            <w:r>
              <w:rPr>
                <w:rFonts w:ascii="Arial" w:eastAsia="Arial" w:hAnsi="Arial" w:cs="Arial"/>
                <w:color w:val="000000"/>
                <w:sz w:val="20"/>
                <w:szCs w:val="20"/>
              </w:rPr>
              <w:t>Live Workshop Presentation</w:t>
            </w:r>
          </w:p>
        </w:tc>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88818C9" w14:textId="77777777" w:rsidR="0074657B" w:rsidRDefault="0074657B" w:rsidP="009A5F89">
            <w:r>
              <w:rPr>
                <w:rFonts w:ascii="Arial" w:eastAsia="Arial" w:hAnsi="Arial" w:cs="Arial"/>
                <w:color w:val="000000"/>
                <w:sz w:val="20"/>
                <w:szCs w:val="20"/>
              </w:rPr>
              <w:t>40%</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82BC9E2" w14:textId="77777777" w:rsidR="0074657B" w:rsidRDefault="0074657B" w:rsidP="009A5F89">
            <w:r>
              <w:rPr>
                <w:rFonts w:ascii="Arial" w:eastAsia="Arial" w:hAnsi="Arial" w:cs="Arial"/>
                <w:color w:val="000000"/>
                <w:sz w:val="20"/>
                <w:szCs w:val="20"/>
              </w:rPr>
              <w:t>A structured live workshop in which students are given an unseen sustainability challenge</w:t>
            </w:r>
            <w:r>
              <w:rPr>
                <w:color w:val="000000"/>
                <w:sz w:val="20"/>
                <w:szCs w:val="20"/>
              </w:rPr>
              <w:t xml:space="preserve"> which </w:t>
            </w:r>
            <w:r w:rsidRPr="00EF518F">
              <w:rPr>
                <w:color w:val="000000"/>
                <w:sz w:val="20"/>
                <w:szCs w:val="20"/>
              </w:rPr>
              <w:t xml:space="preserve">is a situational twist </w:t>
            </w:r>
            <w:r w:rsidRPr="00EF518F">
              <w:rPr>
                <w:i/>
                <w:iCs/>
                <w:color w:val="000000"/>
                <w:sz w:val="20"/>
                <w:szCs w:val="20"/>
              </w:rPr>
              <w:t>related</w:t>
            </w:r>
            <w:r w:rsidRPr="00EF518F">
              <w:rPr>
                <w:color w:val="000000"/>
                <w:sz w:val="20"/>
                <w:szCs w:val="20"/>
              </w:rPr>
              <w:t xml:space="preserve"> to their chosen project,</w:t>
            </w:r>
            <w:r>
              <w:rPr>
                <w:rFonts w:ascii="Arial" w:eastAsia="Arial" w:hAnsi="Arial" w:cs="Arial"/>
                <w:color w:val="000000"/>
                <w:sz w:val="20"/>
                <w:szCs w:val="20"/>
              </w:rPr>
              <w:t xml:space="preserve"> and 2 hours to develop and record a persuasive presentation responding to it. Assessed on narrative framework selection, ethical persuasion, audience alignment, and delivery under pressure. The live, time-constrained format is inherently AI-resistant and tests applied, adaptive communication skills.</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2ECCE66" w14:textId="77777777" w:rsidR="0074657B" w:rsidRDefault="0074657B" w:rsidP="009A5F89">
            <w:r>
              <w:rPr>
                <w:rFonts w:ascii="Arial" w:eastAsia="Arial" w:hAnsi="Arial" w:cs="Arial"/>
                <w:color w:val="000000"/>
                <w:sz w:val="20"/>
                <w:szCs w:val="20"/>
              </w:rPr>
              <w:t>Semester 1 Week 12 (in-person workshop)</w:t>
            </w:r>
          </w:p>
        </w:tc>
      </w:tr>
      <w:tr w:rsidR="0074657B" w14:paraId="486E6F42" w14:textId="77777777" w:rsidTr="009A5F89">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18339F" w14:textId="77777777" w:rsidR="0074657B" w:rsidRDefault="0074657B" w:rsidP="009A5F89">
            <w:r>
              <w:rPr>
                <w:rFonts w:ascii="Arial" w:eastAsia="Arial" w:hAnsi="Arial" w:cs="Arial"/>
                <w:b/>
                <w:bCs/>
                <w:color w:val="000000"/>
                <w:sz w:val="20"/>
                <w:szCs w:val="20"/>
              </w:rPr>
              <w:t>Assessment 3</w:t>
            </w:r>
          </w:p>
          <w:p w14:paraId="1F81338E" w14:textId="77777777" w:rsidR="0074657B" w:rsidRDefault="0074657B" w:rsidP="009A5F89">
            <w:r w:rsidRPr="00146997">
              <w:rPr>
                <w:color w:val="000000"/>
                <w:sz w:val="20"/>
                <w:szCs w:val="20"/>
              </w:rPr>
              <w:t>Reflective Ethics Commentary 20%</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A38B6E" w14:textId="77777777" w:rsidR="0074657B" w:rsidRDefault="0074657B" w:rsidP="009A5F89">
            <w:r>
              <w:rPr>
                <w:rFonts w:ascii="Arial" w:eastAsia="Arial" w:hAnsi="Arial" w:cs="Arial"/>
                <w:color w:val="000000"/>
                <w:sz w:val="20"/>
                <w:szCs w:val="20"/>
              </w:rPr>
              <w:t>20%</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28C152" w14:textId="77777777" w:rsidR="0074657B" w:rsidRDefault="0074657B" w:rsidP="009A5F89">
            <w:r w:rsidRPr="00396ADB">
              <w:rPr>
                <w:color w:val="000000"/>
                <w:sz w:val="20"/>
                <w:szCs w:val="20"/>
              </w:rPr>
              <w:t>A reflective analysis of the student's development as a persuasive communicator, examining responsibility, power, and ethical boundaries in sustainability storytelling. Students should draw upon feedback received throughout the module, including peer critique, workshop activities, supervision discussions, and self-reflection on their communication practice.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8D2FC5" w14:textId="77777777" w:rsidR="0074657B" w:rsidRDefault="0074657B" w:rsidP="009A5F89">
            <w:r>
              <w:rPr>
                <w:rFonts w:ascii="Arial" w:eastAsia="Arial" w:hAnsi="Arial" w:cs="Arial"/>
                <w:color w:val="000000"/>
                <w:sz w:val="20"/>
                <w:szCs w:val="20"/>
              </w:rPr>
              <w:t>April (Semester 2)</w:t>
            </w:r>
          </w:p>
        </w:tc>
      </w:tr>
    </w:tbl>
    <w:p w14:paraId="53A26A58" w14:textId="77777777" w:rsidR="00F40E7B" w:rsidRDefault="00F40E7B" w:rsidP="00692C08"/>
    <w:p w14:paraId="20A8C31F" w14:textId="77777777" w:rsidR="00692C08" w:rsidRPr="00436A4E" w:rsidRDefault="00692C08" w:rsidP="00692C08"/>
    <w:p w14:paraId="4258CA42" w14:textId="25582633" w:rsidR="00692C08" w:rsidRPr="00244B1D" w:rsidRDefault="00692C08" w:rsidP="00692C08">
      <w:pPr>
        <w:pStyle w:val="Title"/>
        <w:jc w:val="both"/>
        <w:rPr>
          <w:rFonts w:ascii="Times New Roman" w:eastAsia="Times New Roman" w:hAnsi="Times New Roman" w:cs="Times New Roman"/>
          <w:spacing w:val="0"/>
          <w:kern w:val="0"/>
          <w:sz w:val="24"/>
          <w:szCs w:val="24"/>
          <w:lang w:eastAsia="en-IE"/>
        </w:rPr>
      </w:pPr>
      <w:r w:rsidRPr="00244B1D">
        <w:rPr>
          <w:rFonts w:ascii="Times New Roman" w:eastAsia="Times New Roman" w:hAnsi="Times New Roman" w:cs="Times New Roman"/>
          <w:spacing w:val="0"/>
          <w:kern w:val="0"/>
          <w:sz w:val="24"/>
          <w:szCs w:val="24"/>
          <w:lang w:eastAsia="en-IE"/>
        </w:rPr>
        <w:t xml:space="preserve">Students who fail the module will need to </w:t>
      </w:r>
      <w:r w:rsidR="00F26116" w:rsidRPr="00F26116">
        <w:rPr>
          <w:rFonts w:ascii="Times New Roman" w:eastAsia="Times New Roman" w:hAnsi="Times New Roman" w:cs="Times New Roman"/>
          <w:spacing w:val="0"/>
          <w:kern w:val="0"/>
          <w:sz w:val="24"/>
          <w:szCs w:val="24"/>
          <w:highlight w:val="yellow"/>
          <w:lang w:eastAsia="en-IE"/>
        </w:rPr>
        <w:t>(…..)</w:t>
      </w:r>
      <w:r w:rsidRPr="00F26116">
        <w:rPr>
          <w:rFonts w:ascii="Times New Roman" w:eastAsia="Times New Roman" w:hAnsi="Times New Roman" w:cs="Times New Roman"/>
          <w:spacing w:val="0"/>
          <w:kern w:val="0"/>
          <w:sz w:val="24"/>
          <w:szCs w:val="24"/>
          <w:highlight w:val="yellow"/>
          <w:lang w:eastAsia="en-IE"/>
        </w:rPr>
        <w:t>.</w:t>
      </w:r>
    </w:p>
    <w:p w14:paraId="63541A6B" w14:textId="77777777" w:rsidR="00692C08" w:rsidRPr="00244B1D" w:rsidRDefault="00692C08" w:rsidP="00692C08">
      <w:pPr>
        <w:pStyle w:val="Title"/>
        <w:jc w:val="both"/>
        <w:rPr>
          <w:rFonts w:ascii="Times New Roman" w:eastAsia="Times New Roman" w:hAnsi="Times New Roman" w:cs="Times New Roman"/>
          <w:spacing w:val="0"/>
          <w:kern w:val="0"/>
          <w:sz w:val="24"/>
          <w:szCs w:val="24"/>
          <w:lang w:eastAsia="en-IE"/>
        </w:rPr>
      </w:pPr>
    </w:p>
    <w:p w14:paraId="2C866FE9" w14:textId="77777777" w:rsidR="00692C08" w:rsidRPr="00244B1D" w:rsidRDefault="00692C08" w:rsidP="00692C08">
      <w:pPr>
        <w:pStyle w:val="Title"/>
        <w:jc w:val="both"/>
        <w:rPr>
          <w:rFonts w:ascii="Times New Roman" w:eastAsia="Times New Roman" w:hAnsi="Times New Roman" w:cs="Times New Roman"/>
          <w:spacing w:val="0"/>
          <w:kern w:val="0"/>
          <w:sz w:val="24"/>
          <w:szCs w:val="24"/>
          <w:lang w:eastAsia="en-IE"/>
        </w:rPr>
      </w:pPr>
      <w:r w:rsidRPr="00244B1D">
        <w:rPr>
          <w:rFonts w:ascii="Times New Roman" w:eastAsia="Times New Roman" w:hAnsi="Times New Roman" w:cs="Times New Roman"/>
          <w:spacing w:val="0"/>
          <w:kern w:val="0"/>
          <w:sz w:val="24"/>
          <w:szCs w:val="24"/>
          <w:lang w:eastAsia="en-IE"/>
        </w:rPr>
        <w:t xml:space="preserve">Attendance at lectures and tutorials is required, any student who attends less than two thirds of lectures and tutorials may be deemed non-satisfactory as per college regulations and may not be allowed to sit the final exam.  </w:t>
      </w:r>
    </w:p>
    <w:p w14:paraId="3C800CD8" w14:textId="77777777" w:rsidR="00692C08" w:rsidRPr="00244B1D" w:rsidRDefault="00692C08" w:rsidP="00692C08">
      <w:pPr>
        <w:pStyle w:val="Title"/>
        <w:jc w:val="both"/>
        <w:rPr>
          <w:rFonts w:ascii="Times New Roman" w:eastAsia="Times New Roman" w:hAnsi="Times New Roman" w:cs="Times New Roman"/>
          <w:spacing w:val="0"/>
          <w:kern w:val="0"/>
          <w:sz w:val="24"/>
          <w:szCs w:val="24"/>
          <w:lang w:eastAsia="en-IE"/>
        </w:rPr>
      </w:pPr>
      <w:r w:rsidRPr="00244B1D">
        <w:rPr>
          <w:rFonts w:ascii="Times New Roman" w:eastAsia="Times New Roman" w:hAnsi="Times New Roman" w:cs="Times New Roman"/>
          <w:spacing w:val="0"/>
          <w:kern w:val="0"/>
          <w:sz w:val="24"/>
          <w:szCs w:val="24"/>
          <w:lang w:eastAsia="en-IE"/>
        </w:rPr>
        <w:t>https://www.tcd.ie/undergraduate-studies/academic-progress/attendance-course-work.php</w:t>
      </w:r>
    </w:p>
    <w:p w14:paraId="4CD3867C" w14:textId="77777777" w:rsidR="00692C08" w:rsidRDefault="00692C08" w:rsidP="00D6718A">
      <w:pPr>
        <w:pStyle w:val="BodyText2"/>
        <w:jc w:val="both"/>
        <w:rPr>
          <w:rFonts w:ascii="Arial" w:hAnsi="Arial" w:cs="Arial"/>
          <w:b/>
          <w:i w:val="0"/>
          <w:iCs w:val="0"/>
          <w:sz w:val="24"/>
        </w:rPr>
      </w:pPr>
    </w:p>
    <w:p w14:paraId="2A21B9B2" w14:textId="77777777" w:rsidR="0090417E" w:rsidRDefault="0090417E" w:rsidP="0090417E">
      <w:pPr>
        <w:tabs>
          <w:tab w:val="num" w:pos="993"/>
        </w:tabs>
        <w:rPr>
          <w:rFonts w:ascii="Arial" w:hAnsi="Arial" w:cs="Arial"/>
          <w:b/>
        </w:rPr>
      </w:pPr>
    </w:p>
    <w:p w14:paraId="6FF278E8" w14:textId="1094C41B" w:rsidR="003631DA" w:rsidRPr="001B1932" w:rsidRDefault="003631DA" w:rsidP="001B1932">
      <w:pPr>
        <w:rPr>
          <w:rFonts w:ascii="Arial" w:hAnsi="Arial" w:cs="Arial"/>
          <w:b/>
        </w:rPr>
      </w:pPr>
      <w:r>
        <w:rPr>
          <w:rFonts w:ascii="Arial" w:hAnsi="Arial" w:cs="Arial"/>
          <w:b/>
        </w:rPr>
        <w:br w:type="page"/>
      </w:r>
    </w:p>
    <w:p w14:paraId="08DCB1B7" w14:textId="77777777" w:rsidR="00D6718A" w:rsidRDefault="00D6718A" w:rsidP="00D6718A">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Pr>
          <w:rFonts w:ascii="Arial" w:hAnsi="Arial" w:cs="Arial"/>
          <w:b/>
          <w:i w:val="0"/>
          <w:iCs w:val="0"/>
          <w:sz w:val="24"/>
        </w:rPr>
        <w:lastRenderedPageBreak/>
        <w:t>MODULE SCHEDULE</w:t>
      </w:r>
    </w:p>
    <w:p w14:paraId="5EB4D74C" w14:textId="77777777" w:rsidR="00D6718A" w:rsidRDefault="00D6718A" w:rsidP="00D6718A">
      <w:pPr>
        <w:pStyle w:val="BodyText2"/>
        <w:jc w:val="both"/>
        <w:rPr>
          <w:rFonts w:ascii="Arial" w:hAnsi="Arial" w:cs="Arial"/>
          <w:i w:val="0"/>
          <w:sz w:val="22"/>
          <w:szCs w:val="22"/>
          <w:u w:val="single"/>
        </w:rPr>
      </w:pPr>
    </w:p>
    <w:tbl>
      <w:tblPr>
        <w:tblStyle w:val="TableGrid"/>
        <w:tblW w:w="10201" w:type="dxa"/>
        <w:tblInd w:w="0" w:type="dxa"/>
        <w:tblLook w:val="01E0" w:firstRow="1" w:lastRow="1" w:firstColumn="1" w:lastColumn="1" w:noHBand="0" w:noVBand="0"/>
      </w:tblPr>
      <w:tblGrid>
        <w:gridCol w:w="10201"/>
      </w:tblGrid>
      <w:tr w:rsidR="00D6718A" w14:paraId="3BE4B095" w14:textId="77777777" w:rsidTr="0095750B">
        <w:tc>
          <w:tcPr>
            <w:tcW w:w="10201" w:type="dxa"/>
            <w:tcBorders>
              <w:top w:val="single" w:sz="4" w:space="0" w:color="auto"/>
              <w:left w:val="single" w:sz="4" w:space="0" w:color="auto"/>
              <w:bottom w:val="single" w:sz="4" w:space="0" w:color="auto"/>
              <w:right w:val="single" w:sz="4" w:space="0" w:color="auto"/>
            </w:tcBorders>
            <w:hideMark/>
          </w:tcPr>
          <w:p w14:paraId="5652A730" w14:textId="08E310C6" w:rsidR="00D6718A" w:rsidRDefault="00D6718A" w:rsidP="0095750B">
            <w:pPr>
              <w:pStyle w:val="BodyText2"/>
              <w:jc w:val="center"/>
              <w:rPr>
                <w:rFonts w:ascii="Arial" w:hAnsi="Arial" w:cs="Arial"/>
                <w:b/>
                <w:i w:val="0"/>
                <w:iCs w:val="0"/>
                <w:sz w:val="24"/>
              </w:rPr>
            </w:pPr>
            <w:r>
              <w:rPr>
                <w:rFonts w:ascii="Arial" w:hAnsi="Arial" w:cs="Arial"/>
                <w:b/>
                <w:i w:val="0"/>
                <w:iCs w:val="0"/>
                <w:sz w:val="24"/>
              </w:rPr>
              <w:t>Term</w:t>
            </w:r>
          </w:p>
        </w:tc>
      </w:tr>
    </w:tbl>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2126"/>
        <w:gridCol w:w="5220"/>
      </w:tblGrid>
      <w:tr w:rsidR="00F94263" w14:paraId="2803BF9F" w14:textId="77777777" w:rsidTr="00880AFA">
        <w:tc>
          <w:tcPr>
            <w:tcW w:w="988" w:type="dxa"/>
            <w:tcBorders>
              <w:top w:val="single" w:sz="4" w:space="0" w:color="auto"/>
              <w:left w:val="single" w:sz="4" w:space="0" w:color="auto"/>
              <w:bottom w:val="single" w:sz="4" w:space="0" w:color="auto"/>
              <w:right w:val="single" w:sz="4" w:space="0" w:color="auto"/>
            </w:tcBorders>
            <w:hideMark/>
          </w:tcPr>
          <w:p w14:paraId="4F571D4B" w14:textId="77777777" w:rsidR="00F94263" w:rsidRDefault="00F94263" w:rsidP="00F26116">
            <w:pPr>
              <w:pStyle w:val="Heading5"/>
              <w:jc w:val="center"/>
              <w:rPr>
                <w:rFonts w:ascii="Arial" w:hAnsi="Arial" w:cs="Arial"/>
                <w:b/>
                <w:i w:val="0"/>
                <w:sz w:val="20"/>
                <w:lang w:eastAsia="en-IE"/>
              </w:rPr>
            </w:pPr>
            <w:r>
              <w:rPr>
                <w:rFonts w:ascii="Arial" w:hAnsi="Arial" w:cs="Arial"/>
                <w:b/>
                <w:i w:val="0"/>
                <w:sz w:val="20"/>
                <w:lang w:eastAsia="en-IE"/>
              </w:rPr>
              <w:t>Session</w:t>
            </w:r>
          </w:p>
        </w:tc>
        <w:tc>
          <w:tcPr>
            <w:tcW w:w="1984" w:type="dxa"/>
          </w:tcPr>
          <w:p w14:paraId="198EF09A" w14:textId="583E199D" w:rsidR="00F94263" w:rsidRDefault="00F94263" w:rsidP="00F26116">
            <w:pPr>
              <w:pStyle w:val="Heading5"/>
              <w:jc w:val="center"/>
              <w:rPr>
                <w:rFonts w:ascii="Arial" w:hAnsi="Arial" w:cs="Arial"/>
                <w:b/>
                <w:i w:val="0"/>
                <w:sz w:val="20"/>
                <w:lang w:eastAsia="en-IE"/>
              </w:rPr>
            </w:pPr>
            <w:r>
              <w:rPr>
                <w:rFonts w:ascii="Arial" w:hAnsi="Arial" w:cs="Arial"/>
                <w:b/>
                <w:i w:val="0"/>
                <w:sz w:val="20"/>
                <w:lang w:eastAsia="en-IE"/>
              </w:rPr>
              <w:t>Date</w:t>
            </w:r>
          </w:p>
        </w:tc>
        <w:tc>
          <w:tcPr>
            <w:tcW w:w="2126" w:type="dxa"/>
            <w:tcBorders>
              <w:top w:val="single" w:sz="4" w:space="0" w:color="auto"/>
              <w:left w:val="single" w:sz="4" w:space="0" w:color="auto"/>
              <w:bottom w:val="single" w:sz="4" w:space="0" w:color="auto"/>
              <w:right w:val="single" w:sz="4" w:space="0" w:color="auto"/>
            </w:tcBorders>
            <w:hideMark/>
          </w:tcPr>
          <w:p w14:paraId="5C0BA5EE" w14:textId="1DCB4125" w:rsidR="00F94263" w:rsidRDefault="00F94263" w:rsidP="00F26116">
            <w:pPr>
              <w:pStyle w:val="Heading5"/>
              <w:jc w:val="center"/>
              <w:rPr>
                <w:rFonts w:ascii="Arial" w:hAnsi="Arial" w:cs="Arial"/>
                <w:b/>
                <w:i w:val="0"/>
                <w:sz w:val="20"/>
                <w:lang w:eastAsia="en-IE"/>
              </w:rPr>
            </w:pPr>
            <w:r>
              <w:rPr>
                <w:rFonts w:ascii="Arial" w:hAnsi="Arial" w:cs="Arial"/>
                <w:b/>
                <w:i w:val="0"/>
                <w:sz w:val="20"/>
                <w:lang w:eastAsia="en-IE"/>
              </w:rPr>
              <w:t>Topic</w:t>
            </w:r>
          </w:p>
        </w:tc>
        <w:tc>
          <w:tcPr>
            <w:tcW w:w="5220" w:type="dxa"/>
            <w:tcBorders>
              <w:top w:val="single" w:sz="4" w:space="0" w:color="auto"/>
              <w:left w:val="single" w:sz="4" w:space="0" w:color="auto"/>
              <w:bottom w:val="single" w:sz="4" w:space="0" w:color="auto"/>
              <w:right w:val="single" w:sz="4" w:space="0" w:color="auto"/>
            </w:tcBorders>
            <w:hideMark/>
          </w:tcPr>
          <w:p w14:paraId="45E97394" w14:textId="77777777" w:rsidR="00F94263" w:rsidRDefault="00F94263" w:rsidP="00F26116">
            <w:pPr>
              <w:pStyle w:val="Heading2"/>
              <w:rPr>
                <w:rFonts w:ascii="Arial" w:hAnsi="Arial" w:cs="Arial"/>
                <w:lang w:eastAsia="en-IE"/>
              </w:rPr>
            </w:pPr>
            <w:r>
              <w:rPr>
                <w:rFonts w:ascii="Arial" w:hAnsi="Arial" w:cs="Arial"/>
                <w:lang w:eastAsia="en-IE"/>
              </w:rPr>
              <w:t>Lecture &amp; readings</w:t>
            </w:r>
          </w:p>
        </w:tc>
      </w:tr>
      <w:tr w:rsidR="00F94263" w14:paraId="4EC81671" w14:textId="77777777" w:rsidTr="00880AFA">
        <w:trPr>
          <w:trHeight w:val="365"/>
        </w:trPr>
        <w:tc>
          <w:tcPr>
            <w:tcW w:w="988" w:type="dxa"/>
            <w:tcBorders>
              <w:top w:val="single" w:sz="4" w:space="0" w:color="auto"/>
              <w:left w:val="single" w:sz="4" w:space="0" w:color="auto"/>
              <w:bottom w:val="single" w:sz="4" w:space="0" w:color="auto"/>
              <w:right w:val="single" w:sz="4" w:space="0" w:color="auto"/>
            </w:tcBorders>
          </w:tcPr>
          <w:p w14:paraId="32DAFBD9" w14:textId="64830E79" w:rsidR="00F94263" w:rsidRPr="0095750B" w:rsidRDefault="00F26116" w:rsidP="00F26116">
            <w:pPr>
              <w:jc w:val="center"/>
              <w:rPr>
                <w:lang w:eastAsia="en-IE"/>
              </w:rPr>
            </w:pPr>
            <w:r>
              <w:rPr>
                <w:lang w:eastAsia="en-IE"/>
              </w:rPr>
              <w:t>1</w:t>
            </w:r>
          </w:p>
        </w:tc>
        <w:tc>
          <w:tcPr>
            <w:tcW w:w="1984" w:type="dxa"/>
          </w:tcPr>
          <w:p w14:paraId="18B99866" w14:textId="41668595" w:rsidR="00F94263" w:rsidRDefault="00F94263" w:rsidP="00F26116">
            <w:pPr>
              <w:ind w:right="284"/>
              <w:jc w:val="center"/>
              <w:rPr>
                <w:lang w:val="en-GB"/>
              </w:rPr>
            </w:pPr>
          </w:p>
        </w:tc>
        <w:tc>
          <w:tcPr>
            <w:tcW w:w="2126" w:type="dxa"/>
            <w:tcBorders>
              <w:top w:val="single" w:sz="4" w:space="0" w:color="auto"/>
              <w:left w:val="single" w:sz="4" w:space="0" w:color="auto"/>
              <w:bottom w:val="single" w:sz="4" w:space="0" w:color="auto"/>
              <w:right w:val="single" w:sz="4" w:space="0" w:color="auto"/>
            </w:tcBorders>
          </w:tcPr>
          <w:p w14:paraId="15FC7971" w14:textId="7A212D9A" w:rsidR="00F94263" w:rsidRPr="00C7627F" w:rsidRDefault="00341C6F" w:rsidP="00F26116">
            <w:pPr>
              <w:jc w:val="center"/>
              <w:rPr>
                <w:rFonts w:ascii="Arial" w:hAnsi="Arial" w:cs="Arial"/>
                <w:sz w:val="18"/>
                <w:szCs w:val="18"/>
                <w:lang w:eastAsia="en-IE"/>
              </w:rPr>
            </w:pPr>
            <w:r>
              <w:rPr>
                <w:rFonts w:ascii="Arial" w:eastAsia="Arial" w:hAnsi="Arial" w:cs="Arial"/>
                <w:b/>
                <w:bCs/>
                <w:sz w:val="20"/>
                <w:szCs w:val="20"/>
              </w:rPr>
              <w:t>Framing the Module</w:t>
            </w:r>
          </w:p>
        </w:tc>
        <w:tc>
          <w:tcPr>
            <w:tcW w:w="5220" w:type="dxa"/>
            <w:tcBorders>
              <w:top w:val="single" w:sz="4" w:space="0" w:color="auto"/>
              <w:left w:val="single" w:sz="4" w:space="0" w:color="auto"/>
              <w:bottom w:val="single" w:sz="4" w:space="0" w:color="auto"/>
              <w:right w:val="single" w:sz="4" w:space="0" w:color="auto"/>
            </w:tcBorders>
          </w:tcPr>
          <w:p w14:paraId="11CBB414" w14:textId="47D43B2A" w:rsidR="00F94263" w:rsidRPr="00C55B2E" w:rsidRDefault="00341C6F" w:rsidP="00F26116">
            <w:pPr>
              <w:ind w:left="360" w:right="284"/>
              <w:jc w:val="center"/>
              <w:rPr>
                <w:color w:val="000000" w:themeColor="text1"/>
                <w:sz w:val="22"/>
                <w:szCs w:val="22"/>
                <w:lang w:eastAsia="en-GB"/>
              </w:rPr>
            </w:pPr>
            <w:r>
              <w:rPr>
                <w:rFonts w:ascii="Arial" w:eastAsia="Arial" w:hAnsi="Arial" w:cs="Arial"/>
                <w:sz w:val="20"/>
                <w:szCs w:val="20"/>
              </w:rPr>
              <w:t>Introduction to sustainability storytelling and why it matters. Module overview, assessment brief. Students identify their sustainability challenge, venture, or initiative.</w:t>
            </w:r>
          </w:p>
        </w:tc>
      </w:tr>
      <w:tr w:rsidR="00341C6F" w14:paraId="522EC040" w14:textId="77777777" w:rsidTr="00880AFA">
        <w:tc>
          <w:tcPr>
            <w:tcW w:w="988" w:type="dxa"/>
            <w:tcBorders>
              <w:top w:val="single" w:sz="4" w:space="0" w:color="auto"/>
              <w:left w:val="single" w:sz="4" w:space="0" w:color="auto"/>
              <w:bottom w:val="single" w:sz="4" w:space="0" w:color="auto"/>
              <w:right w:val="single" w:sz="4" w:space="0" w:color="auto"/>
            </w:tcBorders>
            <w:vAlign w:val="center"/>
          </w:tcPr>
          <w:p w14:paraId="5D40E8CA" w14:textId="669242D8" w:rsidR="00341C6F" w:rsidRPr="0095750B" w:rsidRDefault="00341C6F" w:rsidP="00341C6F">
            <w:pPr>
              <w:jc w:val="center"/>
              <w:rPr>
                <w:lang w:eastAsia="en-IE"/>
              </w:rPr>
            </w:pPr>
            <w:r w:rsidRPr="0095750B">
              <w:rPr>
                <w:lang w:eastAsia="en-IE"/>
              </w:rPr>
              <w:t>2</w:t>
            </w:r>
          </w:p>
        </w:tc>
        <w:tc>
          <w:tcPr>
            <w:tcW w:w="1984" w:type="dxa"/>
          </w:tcPr>
          <w:p w14:paraId="384C1B6B" w14:textId="2582BACD" w:rsidR="00341C6F" w:rsidRDefault="00341C6F" w:rsidP="00341C6F">
            <w:pPr>
              <w:ind w:right="284"/>
              <w:jc w:val="center"/>
              <w:rPr>
                <w:lang w:val="en-GB"/>
              </w:rPr>
            </w:pPr>
          </w:p>
        </w:tc>
        <w:tc>
          <w:tcPr>
            <w:tcW w:w="2126" w:type="dxa"/>
            <w:tcBorders>
              <w:top w:val="single" w:sz="4" w:space="0" w:color="auto"/>
              <w:left w:val="single" w:sz="4" w:space="0" w:color="auto"/>
              <w:bottom w:val="single" w:sz="4" w:space="0" w:color="auto"/>
              <w:right w:val="single" w:sz="4" w:space="0" w:color="auto"/>
            </w:tcBorders>
          </w:tcPr>
          <w:p w14:paraId="1E2F656D" w14:textId="3B2E7CD8" w:rsidR="00341C6F" w:rsidRPr="00341C6F" w:rsidRDefault="00341C6F" w:rsidP="00341C6F">
            <w:pPr>
              <w:ind w:right="284"/>
              <w:jc w:val="center"/>
              <w:rPr>
                <w:b/>
                <w:bCs/>
                <w:lang w:val="en-GB"/>
              </w:rPr>
            </w:pPr>
            <w:r w:rsidRPr="00341C6F">
              <w:rPr>
                <w:b/>
                <w:bCs/>
                <w:lang w:val="en-GB"/>
              </w:rPr>
              <w:t>Business for good</w:t>
            </w:r>
          </w:p>
        </w:tc>
        <w:tc>
          <w:tcPr>
            <w:tcW w:w="5220" w:type="dxa"/>
            <w:tcBorders>
              <w:top w:val="single" w:sz="4" w:space="0" w:color="auto"/>
              <w:left w:val="single" w:sz="4" w:space="0" w:color="auto"/>
              <w:bottom w:val="single" w:sz="4" w:space="0" w:color="auto"/>
              <w:right w:val="single" w:sz="4" w:space="0" w:color="auto"/>
            </w:tcBorders>
          </w:tcPr>
          <w:p w14:paraId="1B52CA7C" w14:textId="3D53AFF2" w:rsidR="00341C6F" w:rsidRPr="00CE1881" w:rsidRDefault="00341C6F" w:rsidP="00341C6F">
            <w:pPr>
              <w:ind w:left="360" w:right="284"/>
              <w:jc w:val="center"/>
              <w:rPr>
                <w:sz w:val="22"/>
                <w:szCs w:val="22"/>
                <w:lang w:eastAsia="en-GB"/>
              </w:rPr>
            </w:pPr>
            <w:r>
              <w:rPr>
                <w:rFonts w:ascii="Arial" w:eastAsia="Arial" w:hAnsi="Arial" w:cs="Arial"/>
                <w:sz w:val="20"/>
                <w:szCs w:val="20"/>
              </w:rPr>
              <w:t>The business-for-good landscape. What makes communication in this space different? Case studies: effective and ineffective sustainability narratives. Overview of communication theory and the architecture of persuasion (Aristotle’s rhetoric: ethos, pathos, logos).</w:t>
            </w:r>
          </w:p>
        </w:tc>
      </w:tr>
      <w:tr w:rsidR="00341C6F" w14:paraId="5F14D435" w14:textId="77777777" w:rsidTr="00880AFA">
        <w:tc>
          <w:tcPr>
            <w:tcW w:w="988" w:type="dxa"/>
            <w:tcBorders>
              <w:top w:val="single" w:sz="4" w:space="0" w:color="auto"/>
              <w:left w:val="single" w:sz="4" w:space="0" w:color="auto"/>
              <w:bottom w:val="single" w:sz="4" w:space="0" w:color="auto"/>
              <w:right w:val="single" w:sz="4" w:space="0" w:color="auto"/>
            </w:tcBorders>
            <w:vAlign w:val="center"/>
          </w:tcPr>
          <w:p w14:paraId="6D11C936" w14:textId="31799C47" w:rsidR="00341C6F" w:rsidRPr="0095750B" w:rsidRDefault="00341C6F" w:rsidP="00341C6F">
            <w:pPr>
              <w:jc w:val="center"/>
              <w:rPr>
                <w:lang w:eastAsia="en-IE"/>
              </w:rPr>
            </w:pPr>
            <w:r w:rsidRPr="0095750B">
              <w:rPr>
                <w:lang w:eastAsia="en-IE"/>
              </w:rPr>
              <w:t>3</w:t>
            </w:r>
          </w:p>
        </w:tc>
        <w:tc>
          <w:tcPr>
            <w:tcW w:w="1984" w:type="dxa"/>
          </w:tcPr>
          <w:p w14:paraId="449093F4" w14:textId="449C086F" w:rsidR="00341C6F" w:rsidRDefault="00341C6F" w:rsidP="00341C6F">
            <w:pPr>
              <w:ind w:right="284"/>
              <w:jc w:val="center"/>
            </w:pPr>
          </w:p>
        </w:tc>
        <w:tc>
          <w:tcPr>
            <w:tcW w:w="2126" w:type="dxa"/>
            <w:tcBorders>
              <w:top w:val="single" w:sz="4" w:space="0" w:color="auto"/>
              <w:left w:val="single" w:sz="4" w:space="0" w:color="auto"/>
              <w:bottom w:val="single" w:sz="4" w:space="0" w:color="auto"/>
              <w:right w:val="single" w:sz="4" w:space="0" w:color="auto"/>
            </w:tcBorders>
          </w:tcPr>
          <w:p w14:paraId="5E61067D" w14:textId="66B68698" w:rsidR="00341C6F" w:rsidRPr="00C7627F" w:rsidRDefault="00341C6F" w:rsidP="00341C6F">
            <w:pPr>
              <w:jc w:val="center"/>
              <w:rPr>
                <w:rFonts w:ascii="Arial" w:hAnsi="Arial" w:cs="Arial"/>
                <w:sz w:val="18"/>
                <w:szCs w:val="18"/>
                <w:lang w:eastAsia="en-IE"/>
              </w:rPr>
            </w:pPr>
            <w:r>
              <w:rPr>
                <w:rFonts w:ascii="Arial" w:eastAsia="Arial" w:hAnsi="Arial" w:cs="Arial"/>
                <w:b/>
                <w:bCs/>
                <w:sz w:val="20"/>
                <w:szCs w:val="20"/>
              </w:rPr>
              <w:t>Cognitive Foundations</w:t>
            </w:r>
          </w:p>
        </w:tc>
        <w:tc>
          <w:tcPr>
            <w:tcW w:w="5220" w:type="dxa"/>
            <w:tcBorders>
              <w:top w:val="single" w:sz="4" w:space="0" w:color="auto"/>
              <w:left w:val="single" w:sz="4" w:space="0" w:color="auto"/>
              <w:bottom w:val="single" w:sz="4" w:space="0" w:color="auto"/>
              <w:right w:val="single" w:sz="4" w:space="0" w:color="auto"/>
            </w:tcBorders>
          </w:tcPr>
          <w:p w14:paraId="4B42DC93" w14:textId="7ECBDA16" w:rsidR="00341C6F" w:rsidRPr="00DB40B2" w:rsidRDefault="00341C6F" w:rsidP="00341C6F">
            <w:pPr>
              <w:ind w:left="360" w:right="284"/>
              <w:jc w:val="center"/>
              <w:rPr>
                <w:color w:val="000000" w:themeColor="text1"/>
                <w:lang w:eastAsia="en-GB"/>
              </w:rPr>
            </w:pPr>
            <w:r>
              <w:rPr>
                <w:rFonts w:ascii="Arial" w:eastAsia="Arial" w:hAnsi="Arial" w:cs="Arial"/>
                <w:sz w:val="20"/>
                <w:szCs w:val="20"/>
              </w:rPr>
              <w:t>The psychology and neurobiology of messages: how narratives activate memory, empathy, and decision-making. Cognitive science and the neuroscience of storytelling.</w:t>
            </w:r>
          </w:p>
        </w:tc>
      </w:tr>
      <w:tr w:rsidR="00341C6F" w14:paraId="1E120DA2" w14:textId="77777777" w:rsidTr="00880AFA">
        <w:tc>
          <w:tcPr>
            <w:tcW w:w="988" w:type="dxa"/>
            <w:tcBorders>
              <w:top w:val="single" w:sz="4" w:space="0" w:color="auto"/>
              <w:left w:val="single" w:sz="4" w:space="0" w:color="auto"/>
              <w:bottom w:val="single" w:sz="4" w:space="0" w:color="auto"/>
              <w:right w:val="single" w:sz="4" w:space="0" w:color="auto"/>
            </w:tcBorders>
            <w:vAlign w:val="center"/>
            <w:hideMark/>
          </w:tcPr>
          <w:p w14:paraId="3D1DE92B" w14:textId="704B26E8" w:rsidR="00341C6F" w:rsidRPr="0095750B" w:rsidRDefault="00341C6F" w:rsidP="00341C6F">
            <w:pPr>
              <w:jc w:val="center"/>
              <w:rPr>
                <w:lang w:eastAsia="en-IE"/>
              </w:rPr>
            </w:pPr>
            <w:r w:rsidRPr="0095750B">
              <w:rPr>
                <w:lang w:eastAsia="en-IE"/>
              </w:rPr>
              <w:t>4</w:t>
            </w:r>
          </w:p>
        </w:tc>
        <w:tc>
          <w:tcPr>
            <w:tcW w:w="1984" w:type="dxa"/>
          </w:tcPr>
          <w:p w14:paraId="34DD1E49" w14:textId="5D1FD67D" w:rsidR="00341C6F" w:rsidRDefault="00341C6F" w:rsidP="00341C6F">
            <w:pPr>
              <w:ind w:right="284"/>
              <w:jc w:val="center"/>
            </w:pPr>
          </w:p>
        </w:tc>
        <w:tc>
          <w:tcPr>
            <w:tcW w:w="2126" w:type="dxa"/>
            <w:tcBorders>
              <w:top w:val="single" w:sz="4" w:space="0" w:color="auto"/>
              <w:left w:val="single" w:sz="4" w:space="0" w:color="auto"/>
              <w:bottom w:val="single" w:sz="4" w:space="0" w:color="auto"/>
              <w:right w:val="single" w:sz="4" w:space="0" w:color="auto"/>
            </w:tcBorders>
          </w:tcPr>
          <w:p w14:paraId="3F86F063" w14:textId="0356591A" w:rsidR="00341C6F" w:rsidRPr="00C7627F" w:rsidRDefault="00873477" w:rsidP="00341C6F">
            <w:pPr>
              <w:jc w:val="center"/>
              <w:rPr>
                <w:rFonts w:ascii="Arial" w:hAnsi="Arial" w:cs="Arial"/>
                <w:sz w:val="18"/>
                <w:szCs w:val="18"/>
                <w:lang w:eastAsia="en-IE"/>
              </w:rPr>
            </w:pPr>
            <w:r>
              <w:rPr>
                <w:rFonts w:ascii="Arial" w:eastAsia="Arial" w:hAnsi="Arial" w:cs="Arial"/>
                <w:b/>
                <w:bCs/>
                <w:sz w:val="20"/>
                <w:szCs w:val="20"/>
              </w:rPr>
              <w:t>Ethical Foundations</w:t>
            </w:r>
          </w:p>
        </w:tc>
        <w:tc>
          <w:tcPr>
            <w:tcW w:w="5220" w:type="dxa"/>
            <w:tcBorders>
              <w:top w:val="single" w:sz="4" w:space="0" w:color="auto"/>
              <w:left w:val="single" w:sz="4" w:space="0" w:color="auto"/>
              <w:bottom w:val="single" w:sz="4" w:space="0" w:color="auto"/>
              <w:right w:val="single" w:sz="4" w:space="0" w:color="auto"/>
            </w:tcBorders>
          </w:tcPr>
          <w:p w14:paraId="36C0D0AB" w14:textId="6BEF7A10" w:rsidR="00341C6F" w:rsidRPr="00F26116" w:rsidRDefault="00873477" w:rsidP="00341C6F">
            <w:pPr>
              <w:ind w:left="360"/>
              <w:jc w:val="center"/>
              <w:rPr>
                <w:rFonts w:ascii="Arial" w:hAnsi="Arial" w:cs="Arial"/>
                <w:bCs/>
                <w:lang w:eastAsia="en-IE"/>
              </w:rPr>
            </w:pPr>
            <w:r>
              <w:rPr>
                <w:rFonts w:ascii="Arial" w:eastAsia="Arial" w:hAnsi="Arial" w:cs="Arial"/>
                <w:sz w:val="20"/>
                <w:szCs w:val="20"/>
              </w:rPr>
              <w:t>Ethical persuasion: power, manipulation, and greenwashing</w:t>
            </w:r>
            <w:r>
              <w:rPr>
                <w:sz w:val="20"/>
                <w:szCs w:val="20"/>
              </w:rPr>
              <w:t>,</w:t>
            </w:r>
            <w:r>
              <w:rPr>
                <w:rFonts w:ascii="Arial" w:eastAsia="Arial" w:hAnsi="Arial" w:cs="Arial"/>
                <w:sz w:val="20"/>
                <w:szCs w:val="20"/>
              </w:rPr>
              <w:t xml:space="preserve"> where are the lines? Students begin their Reflective Ethics Journal (Assessment 3).</w:t>
            </w:r>
          </w:p>
        </w:tc>
      </w:tr>
      <w:tr w:rsidR="00BC791A" w14:paraId="1FC3A1E3" w14:textId="77777777" w:rsidTr="00880AFA">
        <w:tc>
          <w:tcPr>
            <w:tcW w:w="988" w:type="dxa"/>
            <w:tcBorders>
              <w:top w:val="single" w:sz="4" w:space="0" w:color="auto"/>
              <w:left w:val="single" w:sz="4" w:space="0" w:color="auto"/>
              <w:bottom w:val="single" w:sz="4" w:space="0" w:color="auto"/>
              <w:right w:val="single" w:sz="4" w:space="0" w:color="auto"/>
            </w:tcBorders>
            <w:vAlign w:val="center"/>
          </w:tcPr>
          <w:p w14:paraId="41F06B82" w14:textId="2F2656CF" w:rsidR="00BC791A" w:rsidRPr="0095750B" w:rsidRDefault="00BC791A" w:rsidP="00BC791A">
            <w:pPr>
              <w:jc w:val="center"/>
              <w:rPr>
                <w:lang w:eastAsia="en-IE"/>
              </w:rPr>
            </w:pPr>
            <w:r w:rsidRPr="0095750B">
              <w:rPr>
                <w:lang w:eastAsia="en-IE"/>
              </w:rPr>
              <w:t>5</w:t>
            </w:r>
          </w:p>
        </w:tc>
        <w:tc>
          <w:tcPr>
            <w:tcW w:w="1984" w:type="dxa"/>
          </w:tcPr>
          <w:p w14:paraId="3F593DA8" w14:textId="722887B3" w:rsidR="00BC791A" w:rsidRDefault="00BC791A" w:rsidP="00BC791A">
            <w:pPr>
              <w:ind w:right="284"/>
              <w:jc w:val="center"/>
            </w:pPr>
          </w:p>
        </w:tc>
        <w:tc>
          <w:tcPr>
            <w:tcW w:w="2126" w:type="dxa"/>
            <w:tcBorders>
              <w:top w:val="single" w:sz="4" w:space="0" w:color="auto"/>
              <w:left w:val="single" w:sz="4" w:space="0" w:color="auto"/>
              <w:bottom w:val="single" w:sz="4" w:space="0" w:color="auto"/>
              <w:right w:val="single" w:sz="4" w:space="0" w:color="auto"/>
            </w:tcBorders>
          </w:tcPr>
          <w:p w14:paraId="5D9F314B" w14:textId="028B7C0B" w:rsidR="00BC791A" w:rsidRDefault="00BC791A" w:rsidP="00BC791A">
            <w:pPr>
              <w:ind w:right="284"/>
              <w:jc w:val="center"/>
            </w:pPr>
            <w:r>
              <w:rPr>
                <w:rFonts w:ascii="Arial" w:eastAsia="Arial" w:hAnsi="Arial" w:cs="Arial"/>
                <w:b/>
                <w:bCs/>
                <w:sz w:val="20"/>
                <w:szCs w:val="20"/>
              </w:rPr>
              <w:t>Communication Theory &amp; Rhetoric</w:t>
            </w:r>
          </w:p>
        </w:tc>
        <w:tc>
          <w:tcPr>
            <w:tcW w:w="5220" w:type="dxa"/>
            <w:tcBorders>
              <w:top w:val="single" w:sz="4" w:space="0" w:color="auto"/>
              <w:left w:val="single" w:sz="4" w:space="0" w:color="auto"/>
              <w:bottom w:val="single" w:sz="4" w:space="0" w:color="auto"/>
              <w:right w:val="single" w:sz="4" w:space="0" w:color="auto"/>
            </w:tcBorders>
          </w:tcPr>
          <w:p w14:paraId="3F32ED3A" w14:textId="63B07636" w:rsidR="00BC791A" w:rsidRPr="00F26116" w:rsidRDefault="00BC791A" w:rsidP="00BC791A">
            <w:pPr>
              <w:ind w:left="360" w:right="284"/>
              <w:jc w:val="center"/>
              <w:rPr>
                <w:sz w:val="22"/>
                <w:szCs w:val="22"/>
                <w:lang w:eastAsia="en-GB"/>
              </w:rPr>
            </w:pPr>
            <w:r>
              <w:rPr>
                <w:rFonts w:ascii="Arial" w:eastAsia="Arial" w:hAnsi="Arial" w:cs="Arial"/>
                <w:sz w:val="20"/>
                <w:szCs w:val="20"/>
              </w:rPr>
              <w:t>Classical rhetoric and modern communication theory. Framing effects, agenda-setting, and narrative transportation theory. How theoretical frameworks inform strategic communication choices.</w:t>
            </w:r>
          </w:p>
        </w:tc>
      </w:tr>
      <w:tr w:rsidR="00BC791A" w14:paraId="7D99A39C" w14:textId="77777777" w:rsidTr="00880AFA">
        <w:tc>
          <w:tcPr>
            <w:tcW w:w="988" w:type="dxa"/>
            <w:tcBorders>
              <w:top w:val="single" w:sz="4" w:space="0" w:color="auto"/>
              <w:left w:val="single" w:sz="4" w:space="0" w:color="auto"/>
              <w:bottom w:val="single" w:sz="4" w:space="0" w:color="auto"/>
              <w:right w:val="single" w:sz="4" w:space="0" w:color="auto"/>
            </w:tcBorders>
            <w:vAlign w:val="center"/>
          </w:tcPr>
          <w:p w14:paraId="35A1CDB4" w14:textId="0E207A0F" w:rsidR="00BC791A" w:rsidRPr="0095750B" w:rsidRDefault="00BC791A" w:rsidP="00BC791A">
            <w:pPr>
              <w:jc w:val="center"/>
              <w:rPr>
                <w:lang w:eastAsia="en-IE"/>
              </w:rPr>
            </w:pPr>
            <w:r w:rsidRPr="0095750B">
              <w:rPr>
                <w:lang w:eastAsia="en-IE"/>
              </w:rPr>
              <w:t>6</w:t>
            </w:r>
          </w:p>
        </w:tc>
        <w:tc>
          <w:tcPr>
            <w:tcW w:w="1984" w:type="dxa"/>
          </w:tcPr>
          <w:p w14:paraId="6C12563E" w14:textId="5B30A9B4" w:rsidR="00BC791A" w:rsidRDefault="00BC791A" w:rsidP="00BC791A">
            <w:pPr>
              <w:ind w:right="284"/>
              <w:jc w:val="center"/>
            </w:pPr>
          </w:p>
        </w:tc>
        <w:tc>
          <w:tcPr>
            <w:tcW w:w="2126" w:type="dxa"/>
            <w:tcBorders>
              <w:top w:val="single" w:sz="4" w:space="0" w:color="auto"/>
              <w:left w:val="single" w:sz="4" w:space="0" w:color="auto"/>
              <w:bottom w:val="single" w:sz="4" w:space="0" w:color="auto"/>
              <w:right w:val="single" w:sz="4" w:space="0" w:color="auto"/>
            </w:tcBorders>
          </w:tcPr>
          <w:p w14:paraId="1B5D41AB" w14:textId="6CC75BD3" w:rsidR="00BC791A" w:rsidRPr="00C7627F" w:rsidRDefault="00BC791A" w:rsidP="00BC791A">
            <w:pPr>
              <w:jc w:val="center"/>
              <w:rPr>
                <w:rFonts w:ascii="Arial" w:hAnsi="Arial" w:cs="Arial"/>
                <w:sz w:val="18"/>
                <w:szCs w:val="18"/>
                <w:lang w:eastAsia="en-IE"/>
              </w:rPr>
            </w:pPr>
            <w:r>
              <w:rPr>
                <w:rFonts w:ascii="Arial" w:eastAsia="Arial" w:hAnsi="Arial" w:cs="Arial"/>
                <w:b/>
                <w:bCs/>
                <w:sz w:val="20"/>
                <w:szCs w:val="20"/>
              </w:rPr>
              <w:t>Narrative Frameworks I</w:t>
            </w:r>
          </w:p>
        </w:tc>
        <w:tc>
          <w:tcPr>
            <w:tcW w:w="5220" w:type="dxa"/>
            <w:tcBorders>
              <w:top w:val="single" w:sz="4" w:space="0" w:color="auto"/>
              <w:left w:val="single" w:sz="4" w:space="0" w:color="auto"/>
              <w:bottom w:val="single" w:sz="4" w:space="0" w:color="auto"/>
              <w:right w:val="single" w:sz="4" w:space="0" w:color="auto"/>
            </w:tcBorders>
          </w:tcPr>
          <w:p w14:paraId="63ACF757" w14:textId="4C78F4B5" w:rsidR="00BC791A" w:rsidRPr="006676A2" w:rsidRDefault="00BC791A" w:rsidP="00BC791A">
            <w:pPr>
              <w:ind w:left="360" w:right="284"/>
              <w:jc w:val="center"/>
              <w:rPr>
                <w:bCs/>
                <w:iCs/>
                <w:color w:val="000000" w:themeColor="text1"/>
                <w:lang w:eastAsia="en-GB"/>
              </w:rPr>
            </w:pPr>
            <w:r>
              <w:rPr>
                <w:rFonts w:ascii="Arial" w:eastAsia="Arial" w:hAnsi="Arial" w:cs="Arial"/>
                <w:sz w:val="20"/>
                <w:szCs w:val="20"/>
              </w:rPr>
              <w:t>Problem–Solution–Impact; Theory of Change; Systems Change Narrative (Meadows). Workshop: applying frameworks to individual capstone projects.</w:t>
            </w:r>
          </w:p>
        </w:tc>
      </w:tr>
      <w:tr w:rsidR="00BC791A" w14:paraId="35400625" w14:textId="77777777" w:rsidTr="00F26116">
        <w:tc>
          <w:tcPr>
            <w:tcW w:w="10318" w:type="dxa"/>
            <w:gridSpan w:val="4"/>
            <w:tcBorders>
              <w:right w:val="single" w:sz="4" w:space="0" w:color="auto"/>
            </w:tcBorders>
          </w:tcPr>
          <w:p w14:paraId="2BDC15E0" w14:textId="7EBFCC59" w:rsidR="00BC791A" w:rsidRPr="00F26116" w:rsidRDefault="00BC791A" w:rsidP="00BC791A">
            <w:pPr>
              <w:ind w:left="360"/>
              <w:jc w:val="center"/>
              <w:rPr>
                <w:b/>
                <w:bCs/>
                <w:lang w:eastAsia="en-IE"/>
              </w:rPr>
            </w:pPr>
            <w:r w:rsidRPr="00F26116">
              <w:rPr>
                <w:b/>
                <w:bCs/>
              </w:rPr>
              <w:t>Reading Week</w:t>
            </w:r>
          </w:p>
        </w:tc>
      </w:tr>
      <w:tr w:rsidR="00BC791A" w14:paraId="6B3A6993" w14:textId="77777777" w:rsidTr="00880AFA">
        <w:tc>
          <w:tcPr>
            <w:tcW w:w="988" w:type="dxa"/>
            <w:tcBorders>
              <w:top w:val="single" w:sz="4" w:space="0" w:color="auto"/>
              <w:left w:val="single" w:sz="4" w:space="0" w:color="auto"/>
              <w:bottom w:val="single" w:sz="4" w:space="0" w:color="auto"/>
              <w:right w:val="single" w:sz="4" w:space="0" w:color="auto"/>
            </w:tcBorders>
          </w:tcPr>
          <w:p w14:paraId="76E90840" w14:textId="3AF11A8C" w:rsidR="00BC791A" w:rsidRPr="0095750B" w:rsidRDefault="00BC791A" w:rsidP="00BC791A">
            <w:pPr>
              <w:jc w:val="center"/>
              <w:rPr>
                <w:lang w:eastAsia="en-IE"/>
              </w:rPr>
            </w:pPr>
            <w:r w:rsidRPr="0095750B">
              <w:rPr>
                <w:lang w:eastAsia="en-IE"/>
              </w:rPr>
              <w:t>8</w:t>
            </w:r>
          </w:p>
        </w:tc>
        <w:tc>
          <w:tcPr>
            <w:tcW w:w="1984" w:type="dxa"/>
          </w:tcPr>
          <w:p w14:paraId="64EE6A52" w14:textId="4556DFF7" w:rsidR="00BC791A" w:rsidRPr="00993010" w:rsidRDefault="00BC791A" w:rsidP="00BC791A">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971BB5C" w14:textId="5F85BB67" w:rsidR="00BC791A" w:rsidRPr="00993010" w:rsidRDefault="00DF1E71" w:rsidP="00BC791A">
            <w:pPr>
              <w:jc w:val="center"/>
              <w:rPr>
                <w:sz w:val="22"/>
                <w:szCs w:val="22"/>
              </w:rPr>
            </w:pPr>
            <w:r>
              <w:rPr>
                <w:rFonts w:ascii="Arial" w:eastAsia="Arial" w:hAnsi="Arial" w:cs="Arial"/>
                <w:b/>
                <w:bCs/>
                <w:sz w:val="20"/>
                <w:szCs w:val="20"/>
              </w:rPr>
              <w:t>Narrative Frameworks II</w:t>
            </w:r>
          </w:p>
        </w:tc>
        <w:tc>
          <w:tcPr>
            <w:tcW w:w="5220" w:type="dxa"/>
            <w:tcBorders>
              <w:top w:val="single" w:sz="4" w:space="0" w:color="auto"/>
              <w:left w:val="single" w:sz="4" w:space="0" w:color="auto"/>
              <w:bottom w:val="single" w:sz="4" w:space="0" w:color="auto"/>
              <w:right w:val="single" w:sz="4" w:space="0" w:color="auto"/>
            </w:tcBorders>
          </w:tcPr>
          <w:p w14:paraId="0B2D7DA9" w14:textId="07F63964" w:rsidR="00BC791A" w:rsidRPr="00F26116" w:rsidRDefault="00DF1E71" w:rsidP="00BC791A">
            <w:pPr>
              <w:ind w:left="360" w:right="284"/>
              <w:jc w:val="center"/>
              <w:rPr>
                <w:sz w:val="22"/>
                <w:szCs w:val="22"/>
                <w:lang w:eastAsia="en-GB"/>
              </w:rPr>
            </w:pPr>
            <w:r>
              <w:rPr>
                <w:rFonts w:ascii="Arial" w:eastAsia="Arial" w:hAnsi="Arial" w:cs="Arial"/>
                <w:sz w:val="20"/>
                <w:szCs w:val="20"/>
              </w:rPr>
              <w:t>Stakeholder-Centred Narrative; Blended Value Narrative; Ethical Trade-off Narrative. Workshop: adapting narratives across stakeholder groups.</w:t>
            </w:r>
          </w:p>
        </w:tc>
      </w:tr>
      <w:tr w:rsidR="00BC791A" w14:paraId="47CADB3C" w14:textId="77777777" w:rsidTr="00880AFA">
        <w:tc>
          <w:tcPr>
            <w:tcW w:w="988" w:type="dxa"/>
            <w:tcBorders>
              <w:top w:val="single" w:sz="4" w:space="0" w:color="auto"/>
              <w:left w:val="single" w:sz="4" w:space="0" w:color="auto"/>
              <w:bottom w:val="single" w:sz="4" w:space="0" w:color="auto"/>
              <w:right w:val="single" w:sz="4" w:space="0" w:color="auto"/>
            </w:tcBorders>
          </w:tcPr>
          <w:p w14:paraId="61B91189" w14:textId="4AC71688" w:rsidR="00BC791A" w:rsidRPr="0095750B" w:rsidRDefault="00BC791A" w:rsidP="00BC791A">
            <w:pPr>
              <w:jc w:val="center"/>
              <w:rPr>
                <w:lang w:eastAsia="en-IE"/>
              </w:rPr>
            </w:pPr>
            <w:r w:rsidRPr="0095750B">
              <w:rPr>
                <w:lang w:eastAsia="en-IE"/>
              </w:rPr>
              <w:t>9</w:t>
            </w:r>
          </w:p>
        </w:tc>
        <w:tc>
          <w:tcPr>
            <w:tcW w:w="1984" w:type="dxa"/>
          </w:tcPr>
          <w:p w14:paraId="749B97DF" w14:textId="3628D0B3" w:rsidR="00BC791A" w:rsidRDefault="00BC791A" w:rsidP="00BC791A">
            <w:pPr>
              <w:ind w:right="284"/>
              <w:jc w:val="center"/>
            </w:pPr>
          </w:p>
        </w:tc>
        <w:tc>
          <w:tcPr>
            <w:tcW w:w="2126" w:type="dxa"/>
            <w:tcBorders>
              <w:top w:val="single" w:sz="4" w:space="0" w:color="auto"/>
              <w:left w:val="single" w:sz="4" w:space="0" w:color="auto"/>
              <w:bottom w:val="single" w:sz="4" w:space="0" w:color="auto"/>
              <w:right w:val="single" w:sz="4" w:space="0" w:color="auto"/>
            </w:tcBorders>
          </w:tcPr>
          <w:p w14:paraId="13E292CF" w14:textId="2E4AFE90" w:rsidR="00BC791A" w:rsidRDefault="00DF1E71" w:rsidP="00BC791A">
            <w:pPr>
              <w:ind w:right="284"/>
              <w:jc w:val="center"/>
            </w:pPr>
            <w:r>
              <w:rPr>
                <w:rFonts w:ascii="Arial" w:eastAsia="Arial" w:hAnsi="Arial" w:cs="Arial"/>
                <w:b/>
                <w:bCs/>
                <w:sz w:val="20"/>
                <w:szCs w:val="20"/>
              </w:rPr>
              <w:t>Narrative Frameworks III</w:t>
            </w:r>
          </w:p>
        </w:tc>
        <w:tc>
          <w:tcPr>
            <w:tcW w:w="5220" w:type="dxa"/>
            <w:tcBorders>
              <w:top w:val="single" w:sz="4" w:space="0" w:color="auto"/>
              <w:left w:val="single" w:sz="4" w:space="0" w:color="auto"/>
              <w:bottom w:val="single" w:sz="4" w:space="0" w:color="auto"/>
              <w:right w:val="single" w:sz="4" w:space="0" w:color="auto"/>
            </w:tcBorders>
          </w:tcPr>
          <w:p w14:paraId="7626C119" w14:textId="316D8577" w:rsidR="00BC791A" w:rsidRPr="00436A4E" w:rsidRDefault="00DF1E71" w:rsidP="00BC791A">
            <w:pPr>
              <w:ind w:left="360" w:right="284"/>
              <w:jc w:val="center"/>
              <w:rPr>
                <w:lang w:eastAsia="en-GB"/>
              </w:rPr>
            </w:pPr>
            <w:r>
              <w:rPr>
                <w:rFonts w:ascii="Arial" w:eastAsia="Arial" w:hAnsi="Arial" w:cs="Arial"/>
                <w:sz w:val="20"/>
                <w:szCs w:val="20"/>
              </w:rPr>
              <w:t>Journey and Change Narrative; Golden Circle (Sinek); Futures Scenario Narratives. Cross-cultural communication and global justice perspectives.</w:t>
            </w:r>
          </w:p>
        </w:tc>
      </w:tr>
      <w:tr w:rsidR="00BC791A" w14:paraId="41DE2E79" w14:textId="77777777" w:rsidTr="00880AFA">
        <w:tc>
          <w:tcPr>
            <w:tcW w:w="988" w:type="dxa"/>
            <w:tcBorders>
              <w:top w:val="single" w:sz="4" w:space="0" w:color="auto"/>
              <w:left w:val="single" w:sz="4" w:space="0" w:color="auto"/>
              <w:bottom w:val="single" w:sz="4" w:space="0" w:color="auto"/>
              <w:right w:val="single" w:sz="4" w:space="0" w:color="auto"/>
            </w:tcBorders>
          </w:tcPr>
          <w:p w14:paraId="7CCD71BA" w14:textId="7EAFEC1E" w:rsidR="00BC791A" w:rsidRPr="0095750B" w:rsidRDefault="00BC791A" w:rsidP="00BC791A">
            <w:pPr>
              <w:jc w:val="center"/>
              <w:rPr>
                <w:lang w:eastAsia="en-IE"/>
              </w:rPr>
            </w:pPr>
            <w:r w:rsidRPr="0095750B">
              <w:rPr>
                <w:lang w:eastAsia="en-IE"/>
              </w:rPr>
              <w:t>10</w:t>
            </w:r>
          </w:p>
        </w:tc>
        <w:tc>
          <w:tcPr>
            <w:tcW w:w="1984" w:type="dxa"/>
          </w:tcPr>
          <w:p w14:paraId="5422A6B4" w14:textId="02489989" w:rsidR="00BC791A" w:rsidRDefault="00BC791A" w:rsidP="00BC791A">
            <w:pPr>
              <w:ind w:right="284"/>
              <w:jc w:val="center"/>
            </w:pPr>
          </w:p>
        </w:tc>
        <w:tc>
          <w:tcPr>
            <w:tcW w:w="2126" w:type="dxa"/>
            <w:tcBorders>
              <w:top w:val="single" w:sz="4" w:space="0" w:color="auto"/>
              <w:left w:val="single" w:sz="4" w:space="0" w:color="auto"/>
              <w:bottom w:val="single" w:sz="4" w:space="0" w:color="auto"/>
              <w:right w:val="single" w:sz="4" w:space="0" w:color="auto"/>
            </w:tcBorders>
          </w:tcPr>
          <w:p w14:paraId="7090F4DD" w14:textId="5B4D40A7" w:rsidR="00BC791A" w:rsidRDefault="00DF1E71" w:rsidP="00BC791A">
            <w:pPr>
              <w:ind w:right="284"/>
              <w:jc w:val="center"/>
            </w:pPr>
            <w:r>
              <w:rPr>
                <w:rFonts w:ascii="Arial" w:eastAsia="Arial" w:hAnsi="Arial" w:cs="Arial"/>
                <w:b/>
                <w:bCs/>
                <w:sz w:val="20"/>
                <w:szCs w:val="20"/>
              </w:rPr>
              <w:t>Impact &amp; Evidence Storytelling</w:t>
            </w:r>
          </w:p>
        </w:tc>
        <w:tc>
          <w:tcPr>
            <w:tcW w:w="5220" w:type="dxa"/>
            <w:tcBorders>
              <w:top w:val="single" w:sz="4" w:space="0" w:color="auto"/>
              <w:left w:val="single" w:sz="4" w:space="0" w:color="auto"/>
              <w:bottom w:val="single" w:sz="4" w:space="0" w:color="auto"/>
              <w:right w:val="single" w:sz="4" w:space="0" w:color="auto"/>
            </w:tcBorders>
          </w:tcPr>
          <w:p w14:paraId="040EABB7" w14:textId="4EE77A7B" w:rsidR="00BC791A" w:rsidRDefault="00DF1E71" w:rsidP="00BC791A">
            <w:pPr>
              <w:ind w:left="360" w:right="284"/>
              <w:jc w:val="center"/>
            </w:pPr>
            <w:r>
              <w:rPr>
                <w:rFonts w:ascii="Arial" w:eastAsia="Arial" w:hAnsi="Arial" w:cs="Arial"/>
                <w:sz w:val="20"/>
                <w:szCs w:val="20"/>
              </w:rPr>
              <w:t>Translating data, ESG metrics, and impact measurement into narrative. Communicating uncertainty, trade-offs, and complexity honestly. Data–Story–Action framework.</w:t>
            </w:r>
          </w:p>
        </w:tc>
      </w:tr>
      <w:tr w:rsidR="00BC791A" w14:paraId="46146FD9" w14:textId="77777777" w:rsidTr="00880AFA">
        <w:tc>
          <w:tcPr>
            <w:tcW w:w="988" w:type="dxa"/>
            <w:tcBorders>
              <w:top w:val="single" w:sz="4" w:space="0" w:color="auto"/>
              <w:left w:val="single" w:sz="4" w:space="0" w:color="auto"/>
              <w:bottom w:val="single" w:sz="4" w:space="0" w:color="auto"/>
              <w:right w:val="single" w:sz="4" w:space="0" w:color="auto"/>
            </w:tcBorders>
          </w:tcPr>
          <w:p w14:paraId="5AD36CC4" w14:textId="7706C1BD" w:rsidR="00BC791A" w:rsidRPr="0095750B" w:rsidRDefault="00BC791A" w:rsidP="00BC791A">
            <w:pPr>
              <w:jc w:val="center"/>
              <w:rPr>
                <w:lang w:eastAsia="en-IE"/>
              </w:rPr>
            </w:pPr>
            <w:r w:rsidRPr="0095750B">
              <w:rPr>
                <w:lang w:eastAsia="en-IE"/>
              </w:rPr>
              <w:t>11</w:t>
            </w:r>
          </w:p>
        </w:tc>
        <w:tc>
          <w:tcPr>
            <w:tcW w:w="1984" w:type="dxa"/>
          </w:tcPr>
          <w:p w14:paraId="12BB6F3B" w14:textId="708C4ACC" w:rsidR="00BC791A" w:rsidRDefault="00BC791A" w:rsidP="00BC791A">
            <w:pPr>
              <w:ind w:right="284"/>
              <w:jc w:val="center"/>
            </w:pPr>
          </w:p>
        </w:tc>
        <w:tc>
          <w:tcPr>
            <w:tcW w:w="2126" w:type="dxa"/>
            <w:tcBorders>
              <w:top w:val="single" w:sz="4" w:space="0" w:color="auto"/>
              <w:left w:val="single" w:sz="4" w:space="0" w:color="auto"/>
              <w:bottom w:val="single" w:sz="4" w:space="0" w:color="auto"/>
              <w:right w:val="single" w:sz="4" w:space="0" w:color="auto"/>
            </w:tcBorders>
          </w:tcPr>
          <w:p w14:paraId="7C00721E" w14:textId="022949D7" w:rsidR="00BC791A" w:rsidRDefault="00DF1E71" w:rsidP="00BC791A">
            <w:pPr>
              <w:ind w:right="284"/>
              <w:jc w:val="center"/>
            </w:pPr>
            <w:r>
              <w:rPr>
                <w:rFonts w:ascii="Arial" w:eastAsia="Arial" w:hAnsi="Arial" w:cs="Arial"/>
                <w:b/>
                <w:bCs/>
                <w:sz w:val="20"/>
                <w:szCs w:val="20"/>
              </w:rPr>
              <w:t>Visual &amp; Digital Storytelling</w:t>
            </w:r>
          </w:p>
        </w:tc>
        <w:tc>
          <w:tcPr>
            <w:tcW w:w="5220" w:type="dxa"/>
            <w:tcBorders>
              <w:top w:val="single" w:sz="4" w:space="0" w:color="auto"/>
              <w:left w:val="single" w:sz="4" w:space="0" w:color="auto"/>
              <w:bottom w:val="single" w:sz="4" w:space="0" w:color="auto"/>
              <w:right w:val="single" w:sz="4" w:space="0" w:color="auto"/>
            </w:tcBorders>
          </w:tcPr>
          <w:p w14:paraId="3826DDB6" w14:textId="6BA5A21F" w:rsidR="00BC791A" w:rsidRDefault="00DF1E71" w:rsidP="00BC791A">
            <w:pPr>
              <w:ind w:left="360" w:right="284"/>
              <w:jc w:val="center"/>
              <w:rPr>
                <w:lang w:eastAsia="en-GB"/>
              </w:rPr>
            </w:pPr>
            <w:r>
              <w:rPr>
                <w:rFonts w:ascii="Arial" w:eastAsia="Arial" w:hAnsi="Arial" w:cs="Arial"/>
                <w:sz w:val="20"/>
                <w:szCs w:val="20"/>
              </w:rPr>
              <w:t>Pitch design, visual communication, media and digital narratives. The Pixar Pitch and Before–After–Bridge frameworks. Pitch lab: structured rehearsal with peer feedback.</w:t>
            </w:r>
          </w:p>
        </w:tc>
      </w:tr>
      <w:tr w:rsidR="00DF1E71" w14:paraId="7ECB09D1" w14:textId="77777777" w:rsidTr="00880AFA">
        <w:tc>
          <w:tcPr>
            <w:tcW w:w="988" w:type="dxa"/>
            <w:tcBorders>
              <w:top w:val="single" w:sz="4" w:space="0" w:color="auto"/>
              <w:left w:val="single" w:sz="4" w:space="0" w:color="auto"/>
              <w:bottom w:val="single" w:sz="4" w:space="0" w:color="auto"/>
              <w:right w:val="single" w:sz="4" w:space="0" w:color="auto"/>
            </w:tcBorders>
          </w:tcPr>
          <w:p w14:paraId="172297D1" w14:textId="08CE7E24" w:rsidR="00DF1E71" w:rsidRPr="0095750B" w:rsidRDefault="00DF1E71" w:rsidP="00DF1E71">
            <w:pPr>
              <w:jc w:val="center"/>
              <w:rPr>
                <w:lang w:eastAsia="en-IE"/>
              </w:rPr>
            </w:pPr>
            <w:r w:rsidRPr="0095750B">
              <w:rPr>
                <w:lang w:eastAsia="en-IE"/>
              </w:rPr>
              <w:t>12</w:t>
            </w:r>
          </w:p>
        </w:tc>
        <w:tc>
          <w:tcPr>
            <w:tcW w:w="1984" w:type="dxa"/>
          </w:tcPr>
          <w:p w14:paraId="38B1A95F" w14:textId="1932C94C" w:rsidR="00DF1E71" w:rsidRDefault="00DF1E71" w:rsidP="00DF1E71">
            <w:pPr>
              <w:ind w:right="284"/>
              <w:jc w:val="center"/>
            </w:pPr>
          </w:p>
        </w:tc>
        <w:tc>
          <w:tcPr>
            <w:tcW w:w="2126" w:type="dxa"/>
            <w:tcBorders>
              <w:top w:val="single" w:sz="4" w:space="0" w:color="auto"/>
              <w:left w:val="single" w:sz="4" w:space="0" w:color="auto"/>
              <w:bottom w:val="single" w:sz="4" w:space="0" w:color="auto"/>
              <w:right w:val="single" w:sz="4" w:space="0" w:color="auto"/>
            </w:tcBorders>
          </w:tcPr>
          <w:p w14:paraId="2526FB14" w14:textId="0858C4F5" w:rsidR="00DF1E71" w:rsidRDefault="00DF1E71" w:rsidP="00DF1E71">
            <w:pPr>
              <w:ind w:right="284"/>
              <w:jc w:val="center"/>
            </w:pPr>
            <w:r>
              <w:rPr>
                <w:rFonts w:ascii="Arial" w:eastAsia="Arial" w:hAnsi="Arial" w:cs="Arial"/>
                <w:b/>
                <w:bCs/>
                <w:sz w:val="20"/>
                <w:szCs w:val="20"/>
              </w:rPr>
              <w:t>Live Workshop Assessment Preparation</w:t>
            </w:r>
          </w:p>
        </w:tc>
        <w:tc>
          <w:tcPr>
            <w:tcW w:w="5220" w:type="dxa"/>
            <w:tcBorders>
              <w:top w:val="single" w:sz="4" w:space="0" w:color="auto"/>
              <w:left w:val="single" w:sz="4" w:space="0" w:color="auto"/>
              <w:bottom w:val="single" w:sz="4" w:space="0" w:color="auto"/>
              <w:right w:val="single" w:sz="4" w:space="0" w:color="auto"/>
            </w:tcBorders>
          </w:tcPr>
          <w:p w14:paraId="637AF30C" w14:textId="7B0ADEFC" w:rsidR="00DF1E71" w:rsidRDefault="00DF1E71" w:rsidP="00DF1E71">
            <w:pPr>
              <w:ind w:left="360" w:right="284"/>
              <w:jc w:val="center"/>
            </w:pPr>
            <w:r>
              <w:rPr>
                <w:rFonts w:ascii="Arial" w:eastAsia="Arial" w:hAnsi="Arial" w:cs="Arial"/>
                <w:sz w:val="20"/>
                <w:szCs w:val="20"/>
              </w:rPr>
              <w:t>Simulation of Assessment 2 live workshop conditions. Students practise working under time pressure with an unseen challenge. Full formative run-through with structured peer and lecturer feedback.</w:t>
            </w:r>
          </w:p>
        </w:tc>
      </w:tr>
    </w:tbl>
    <w:p w14:paraId="41ECC354" w14:textId="4A9D0AA5" w:rsidR="002F6524" w:rsidRDefault="002F6524" w:rsidP="00D6718A">
      <w:pPr>
        <w:pStyle w:val="BodyText2"/>
        <w:jc w:val="both"/>
        <w:rPr>
          <w:rFonts w:ascii="Arial" w:hAnsi="Arial" w:cs="Arial"/>
          <w:sz w:val="24"/>
        </w:rPr>
      </w:pPr>
    </w:p>
    <w:p w14:paraId="43647BCB" w14:textId="77777777" w:rsidR="002F6524" w:rsidRDefault="002F6524" w:rsidP="00D6718A">
      <w:pPr>
        <w:pStyle w:val="BodyText2"/>
        <w:jc w:val="both"/>
        <w:rPr>
          <w:rFonts w:ascii="Arial" w:hAnsi="Arial" w:cs="Arial"/>
          <w:sz w:val="24"/>
        </w:rPr>
      </w:pPr>
    </w:p>
    <w:p w14:paraId="33E82C11" w14:textId="361A8239" w:rsidR="004D5D0E" w:rsidRDefault="004D5D0E" w:rsidP="00D6718A">
      <w:pPr>
        <w:pStyle w:val="BodyText2"/>
        <w:jc w:val="both"/>
        <w:rPr>
          <w:rFonts w:ascii="Arial" w:hAnsi="Arial" w:cs="Arial"/>
          <w:sz w:val="24"/>
        </w:rPr>
      </w:pPr>
    </w:p>
    <w:p w14:paraId="32028B84" w14:textId="26AF1362" w:rsidR="004D5D0E" w:rsidRDefault="004D5D0E" w:rsidP="00D6718A">
      <w:pPr>
        <w:pStyle w:val="BodyText2"/>
        <w:jc w:val="both"/>
      </w:pPr>
    </w:p>
    <w:p w14:paraId="25875492" w14:textId="53C420D5" w:rsidR="004D5D0E" w:rsidRDefault="004D5D0E" w:rsidP="00D6718A">
      <w:pPr>
        <w:pStyle w:val="BodyText2"/>
        <w:jc w:val="both"/>
      </w:pPr>
    </w:p>
    <w:p w14:paraId="7F0B9CAF" w14:textId="3DE88E55" w:rsidR="00D6718A" w:rsidRDefault="00D6718A" w:rsidP="00D6718A">
      <w:pPr>
        <w:pStyle w:val="BodyText2"/>
        <w:jc w:val="both"/>
        <w:rPr>
          <w:rFonts w:ascii="Arial" w:hAnsi="Arial" w:cs="Arial"/>
          <w:b/>
          <w:i w:val="0"/>
          <w:iCs w:val="0"/>
          <w:smallCaps/>
          <w:sz w:val="28"/>
          <w:szCs w:val="28"/>
        </w:rPr>
      </w:pPr>
      <w:r>
        <w:rPr>
          <w:rFonts w:ascii="Arial" w:hAnsi="Arial" w:cs="Arial"/>
          <w:b/>
          <w:i w:val="0"/>
          <w:iCs w:val="0"/>
          <w:smallCaps/>
          <w:sz w:val="28"/>
          <w:szCs w:val="28"/>
        </w:rPr>
        <w:t xml:space="preserve">Biographical Note: </w:t>
      </w:r>
    </w:p>
    <w:p w14:paraId="7DBAD17B" w14:textId="77777777" w:rsidR="00662798" w:rsidRDefault="00662798" w:rsidP="00D6718A">
      <w:pPr>
        <w:pStyle w:val="BodyText2"/>
        <w:jc w:val="both"/>
        <w:rPr>
          <w:rFonts w:ascii="Arial" w:hAnsi="Arial" w:cs="Arial"/>
          <w:b/>
          <w:i w:val="0"/>
          <w:iCs w:val="0"/>
          <w:smallCaps/>
          <w:sz w:val="28"/>
          <w:szCs w:val="28"/>
        </w:rPr>
      </w:pPr>
    </w:p>
    <w:p w14:paraId="2C4E2F30" w14:textId="7513E2AF" w:rsidR="00662798" w:rsidRDefault="00662798" w:rsidP="00662798">
      <w:pPr>
        <w:pStyle w:val="isselectedend"/>
      </w:pPr>
      <w:r>
        <w:t xml:space="preserve">Shayle Ravera is a doctoral researcher at Trinity Business School, Trinity College Dublin, specialising in social entrepreneurship, sustainability, and cross-sector collaboration. She holds a Master's degree in Psychology, which </w:t>
      </w:r>
      <w:r w:rsidRPr="00662798">
        <w:rPr>
          <w:lang w:val="en-IE"/>
        </w:rPr>
        <w:t>grounds her interest in persuasion, decision-making, and the neuroscience of narrative</w:t>
      </w:r>
      <w:r>
        <w:t>.</w:t>
      </w:r>
    </w:p>
    <w:p w14:paraId="4E751DFA" w14:textId="77777777" w:rsidR="00662798" w:rsidRDefault="00662798" w:rsidP="00662798">
      <w:pPr>
        <w:pStyle w:val="isselectedend"/>
      </w:pPr>
      <w:r>
        <w:t>Her doctoral research examines how social enterprises operating in resource-constrained environments build and manage partnership portfolios to achieve social impact. This work has sharpened her interest in how organisations communicate value, navigate competing stakeholder interests, and construct credible narratives of impact under conditions of complexity and constraint. Her broader research interests span systems thinking, social innovation, sustainability communication, and the role of storytelling in shaping organisational and societal change.</w:t>
      </w:r>
    </w:p>
    <w:p w14:paraId="7E0BDBFB" w14:textId="77777777" w:rsidR="00662798" w:rsidRDefault="00662798" w:rsidP="00662798">
      <w:pPr>
        <w:pStyle w:val="NormalWeb"/>
      </w:pPr>
      <w:r>
        <w:t>Her teaching draws on insights from psychology, rhetoric, communication, and business to help students critically examine how messages, narratives, and stakeholder relationships influence behaviour, decision-making, and sustainable development outcomes.</w:t>
      </w:r>
    </w:p>
    <w:p w14:paraId="307EE0F1" w14:textId="77777777" w:rsidR="00662798" w:rsidRDefault="00662798" w:rsidP="00D6718A">
      <w:pPr>
        <w:pStyle w:val="BodyText2"/>
        <w:jc w:val="both"/>
        <w:rPr>
          <w:rFonts w:ascii="Arial" w:hAnsi="Arial" w:cs="Arial"/>
          <w:b/>
          <w:i w:val="0"/>
          <w:iCs w:val="0"/>
          <w:smallCaps/>
          <w:sz w:val="28"/>
          <w:szCs w:val="28"/>
        </w:rPr>
      </w:pPr>
    </w:p>
    <w:p w14:paraId="3452031A" w14:textId="77777777" w:rsidR="00C21303" w:rsidRDefault="00C21303" w:rsidP="00C21303">
      <w:pPr>
        <w:pStyle w:val="BodyText2"/>
        <w:jc w:val="both"/>
        <w:rPr>
          <w:i w:val="0"/>
          <w:iCs w:val="0"/>
          <w:color w:val="333333"/>
          <w:sz w:val="24"/>
          <w:shd w:val="clear" w:color="auto" w:fill="FFFFFF"/>
          <w:lang w:val="en-GB" w:eastAsia="en-GB"/>
        </w:rPr>
      </w:pPr>
    </w:p>
    <w:p w14:paraId="6CEF60D0" w14:textId="77777777" w:rsidR="00D6718A" w:rsidRDefault="00D6718A" w:rsidP="00D6718A">
      <w:pPr>
        <w:pStyle w:val="BodyText2"/>
        <w:jc w:val="both"/>
        <w:rPr>
          <w:rFonts w:ascii="Arial" w:hAnsi="Arial" w:cs="Arial"/>
          <w:i w:val="0"/>
          <w:iCs w:val="0"/>
          <w:sz w:val="24"/>
        </w:rPr>
      </w:pPr>
    </w:p>
    <w:p w14:paraId="4C690E9B" w14:textId="11593217" w:rsidR="00A66C21" w:rsidRPr="00822F1E" w:rsidRDefault="00A66C21" w:rsidP="00822F1E">
      <w:pPr>
        <w:pStyle w:val="BodyText2"/>
        <w:rPr>
          <w:rFonts w:ascii="Arial" w:hAnsi="Arial" w:cs="Arial"/>
        </w:rPr>
      </w:pPr>
    </w:p>
    <w:sectPr w:rsidR="00A66C21" w:rsidRPr="00822F1E" w:rsidSect="00586962">
      <w:headerReference w:type="even"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1533" w14:textId="77777777" w:rsidR="00C54766" w:rsidRDefault="00C54766" w:rsidP="006D6D3A">
      <w:r>
        <w:separator/>
      </w:r>
    </w:p>
  </w:endnote>
  <w:endnote w:type="continuationSeparator" w:id="0">
    <w:p w14:paraId="06E826BE" w14:textId="77777777" w:rsidR="00C54766" w:rsidRDefault="00C54766"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8014" w14:textId="77777777" w:rsidR="00C54766" w:rsidRDefault="00C54766" w:rsidP="006D6D3A">
      <w:r>
        <w:separator/>
      </w:r>
    </w:p>
  </w:footnote>
  <w:footnote w:type="continuationSeparator" w:id="0">
    <w:p w14:paraId="3527C5AE" w14:textId="77777777" w:rsidR="00C54766" w:rsidRDefault="00C54766" w:rsidP="006D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6037" w14:textId="4E674608"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bjHeaderEvenPageDocProperty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BDC8" w14:textId="026F6290"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bjHeaderFirstPageDocProperty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EA87205"/>
    <w:multiLevelType w:val="hybridMultilevel"/>
    <w:tmpl w:val="F7D89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2E63E08"/>
    <w:multiLevelType w:val="hybridMultilevel"/>
    <w:tmpl w:val="EC96E76A"/>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6"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23E97"/>
    <w:multiLevelType w:val="hybridMultilevel"/>
    <w:tmpl w:val="D0969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125CB"/>
    <w:multiLevelType w:val="hybridMultilevel"/>
    <w:tmpl w:val="16AE8E3A"/>
    <w:lvl w:ilvl="0" w:tplc="C8F61F14">
      <w:start w:val="1"/>
      <w:numFmt w:val="bullet"/>
      <w:lvlText w:val="•"/>
      <w:lvlJc w:val="left"/>
      <w:pPr>
        <w:ind w:left="720" w:hanging="360"/>
      </w:pPr>
    </w:lvl>
    <w:lvl w:ilvl="1" w:tplc="947AB892">
      <w:start w:val="1"/>
      <w:numFmt w:val="bullet"/>
      <w:lvlText w:val="◦"/>
      <w:lvlJc w:val="left"/>
      <w:pPr>
        <w:ind w:left="1080" w:hanging="360"/>
      </w:pPr>
    </w:lvl>
    <w:lvl w:ilvl="2" w:tplc="5E4AA3B8">
      <w:numFmt w:val="decimal"/>
      <w:lvlText w:val=""/>
      <w:lvlJc w:val="left"/>
    </w:lvl>
    <w:lvl w:ilvl="3" w:tplc="58A4DD34">
      <w:numFmt w:val="decimal"/>
      <w:lvlText w:val=""/>
      <w:lvlJc w:val="left"/>
    </w:lvl>
    <w:lvl w:ilvl="4" w:tplc="8E90916A">
      <w:numFmt w:val="decimal"/>
      <w:lvlText w:val=""/>
      <w:lvlJc w:val="left"/>
    </w:lvl>
    <w:lvl w:ilvl="5" w:tplc="2B3ACA00">
      <w:numFmt w:val="decimal"/>
      <w:lvlText w:val=""/>
      <w:lvlJc w:val="left"/>
    </w:lvl>
    <w:lvl w:ilvl="6" w:tplc="19D2DE80">
      <w:numFmt w:val="decimal"/>
      <w:lvlText w:val=""/>
      <w:lvlJc w:val="left"/>
    </w:lvl>
    <w:lvl w:ilvl="7" w:tplc="539C1EF4">
      <w:numFmt w:val="decimal"/>
      <w:lvlText w:val=""/>
      <w:lvlJc w:val="left"/>
    </w:lvl>
    <w:lvl w:ilvl="8" w:tplc="B65EB63C">
      <w:numFmt w:val="decimal"/>
      <w:lvlText w:val=""/>
      <w:lvlJc w:val="left"/>
    </w:lvl>
  </w:abstractNum>
  <w:abstractNum w:abstractNumId="11"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2"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5" w15:restartNumberingAfterBreak="0">
    <w:nsid w:val="370921B4"/>
    <w:multiLevelType w:val="hybridMultilevel"/>
    <w:tmpl w:val="461E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60074"/>
    <w:multiLevelType w:val="hybridMultilevel"/>
    <w:tmpl w:val="15CA2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D0112"/>
    <w:multiLevelType w:val="hybridMultilevel"/>
    <w:tmpl w:val="7E1686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3" w15:restartNumberingAfterBreak="0">
    <w:nsid w:val="48D14650"/>
    <w:multiLevelType w:val="hybridMultilevel"/>
    <w:tmpl w:val="81844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7" w15:restartNumberingAfterBreak="0">
    <w:nsid w:val="5BCE4296"/>
    <w:multiLevelType w:val="hybridMultilevel"/>
    <w:tmpl w:val="31C22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96755"/>
    <w:multiLevelType w:val="hybridMultilevel"/>
    <w:tmpl w:val="948E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6"/>
  </w:num>
  <w:num w:numId="2" w16cid:durableId="1145004103">
    <w:abstractNumId w:val="14"/>
  </w:num>
  <w:num w:numId="3" w16cid:durableId="55794040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9"/>
  </w:num>
  <w:num w:numId="5" w16cid:durableId="1408696399">
    <w:abstractNumId w:val="4"/>
  </w:num>
  <w:num w:numId="6" w16cid:durableId="1012876674">
    <w:abstractNumId w:val="28"/>
  </w:num>
  <w:num w:numId="7" w16cid:durableId="1688411081">
    <w:abstractNumId w:val="33"/>
  </w:num>
  <w:num w:numId="8" w16cid:durableId="497573582">
    <w:abstractNumId w:val="30"/>
  </w:num>
  <w:num w:numId="9" w16cid:durableId="27344721">
    <w:abstractNumId w:val="9"/>
  </w:num>
  <w:num w:numId="10" w16cid:durableId="303655603">
    <w:abstractNumId w:val="16"/>
  </w:num>
  <w:num w:numId="11" w16cid:durableId="235097612">
    <w:abstractNumId w:val="31"/>
  </w:num>
  <w:num w:numId="12" w16cid:durableId="1483883650">
    <w:abstractNumId w:val="20"/>
  </w:num>
  <w:num w:numId="13" w16cid:durableId="773135965">
    <w:abstractNumId w:val="3"/>
  </w:num>
  <w:num w:numId="14" w16cid:durableId="711731849">
    <w:abstractNumId w:val="24"/>
  </w:num>
  <w:num w:numId="15" w16cid:durableId="400753147">
    <w:abstractNumId w:val="17"/>
  </w:num>
  <w:num w:numId="16" w16cid:durableId="1741362677">
    <w:abstractNumId w:val="22"/>
  </w:num>
  <w:num w:numId="17" w16cid:durableId="1200315553">
    <w:abstractNumId w:val="0"/>
  </w:num>
  <w:num w:numId="18" w16cid:durableId="244874597">
    <w:abstractNumId w:val="11"/>
  </w:num>
  <w:num w:numId="19" w16cid:durableId="1135103131">
    <w:abstractNumId w:val="1"/>
  </w:num>
  <w:num w:numId="20" w16cid:durableId="620500926">
    <w:abstractNumId w:val="26"/>
  </w:num>
  <w:num w:numId="21" w16cid:durableId="2094204003">
    <w:abstractNumId w:val="7"/>
  </w:num>
  <w:num w:numId="22" w16cid:durableId="337275868">
    <w:abstractNumId w:val="19"/>
  </w:num>
  <w:num w:numId="23" w16cid:durableId="1640376947">
    <w:abstractNumId w:val="13"/>
  </w:num>
  <w:num w:numId="24" w16cid:durableId="99643470">
    <w:abstractNumId w:val="12"/>
  </w:num>
  <w:num w:numId="25" w16cid:durableId="1990746825">
    <w:abstractNumId w:val="18"/>
  </w:num>
  <w:num w:numId="26" w16cid:durableId="742407337">
    <w:abstractNumId w:val="8"/>
  </w:num>
  <w:num w:numId="27" w16cid:durableId="2119712956">
    <w:abstractNumId w:val="27"/>
  </w:num>
  <w:num w:numId="28" w16cid:durableId="602539607">
    <w:abstractNumId w:val="23"/>
  </w:num>
  <w:num w:numId="29" w16cid:durableId="1376543607">
    <w:abstractNumId w:val="5"/>
  </w:num>
  <w:num w:numId="30" w16cid:durableId="1075473941">
    <w:abstractNumId w:val="32"/>
  </w:num>
  <w:num w:numId="31" w16cid:durableId="574705677">
    <w:abstractNumId w:val="15"/>
  </w:num>
  <w:num w:numId="32" w16cid:durableId="1245992402">
    <w:abstractNumId w:val="2"/>
  </w:num>
  <w:num w:numId="33" w16cid:durableId="1293632681">
    <w:abstractNumId w:val="21"/>
  </w:num>
  <w:num w:numId="34" w16cid:durableId="20722543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24818"/>
    <w:rsid w:val="00041E25"/>
    <w:rsid w:val="0004502D"/>
    <w:rsid w:val="00053A9E"/>
    <w:rsid w:val="0006463E"/>
    <w:rsid w:val="000703C0"/>
    <w:rsid w:val="00073312"/>
    <w:rsid w:val="0008514B"/>
    <w:rsid w:val="00090B67"/>
    <w:rsid w:val="000924CD"/>
    <w:rsid w:val="000A2C1D"/>
    <w:rsid w:val="000E497A"/>
    <w:rsid w:val="00105706"/>
    <w:rsid w:val="00122CE5"/>
    <w:rsid w:val="001252E7"/>
    <w:rsid w:val="001628FD"/>
    <w:rsid w:val="00177705"/>
    <w:rsid w:val="001920C6"/>
    <w:rsid w:val="00193AA7"/>
    <w:rsid w:val="001A79FA"/>
    <w:rsid w:val="001B1932"/>
    <w:rsid w:val="001E7EEA"/>
    <w:rsid w:val="001F198D"/>
    <w:rsid w:val="00200CFC"/>
    <w:rsid w:val="00244B1D"/>
    <w:rsid w:val="00256F35"/>
    <w:rsid w:val="00270E0B"/>
    <w:rsid w:val="00286703"/>
    <w:rsid w:val="002B250F"/>
    <w:rsid w:val="002B486F"/>
    <w:rsid w:val="002B5410"/>
    <w:rsid w:val="002C2DF4"/>
    <w:rsid w:val="002C3FD4"/>
    <w:rsid w:val="002C56DA"/>
    <w:rsid w:val="002F56BA"/>
    <w:rsid w:val="002F6524"/>
    <w:rsid w:val="003000AF"/>
    <w:rsid w:val="00311AAB"/>
    <w:rsid w:val="00321D75"/>
    <w:rsid w:val="00326FF6"/>
    <w:rsid w:val="0033323E"/>
    <w:rsid w:val="00341C6F"/>
    <w:rsid w:val="003631DA"/>
    <w:rsid w:val="003659A0"/>
    <w:rsid w:val="003907E3"/>
    <w:rsid w:val="003A107A"/>
    <w:rsid w:val="003B364B"/>
    <w:rsid w:val="003D42C9"/>
    <w:rsid w:val="003E39FB"/>
    <w:rsid w:val="003E524A"/>
    <w:rsid w:val="003F22AC"/>
    <w:rsid w:val="003F6201"/>
    <w:rsid w:val="004112F4"/>
    <w:rsid w:val="00416944"/>
    <w:rsid w:val="0042500B"/>
    <w:rsid w:val="00425160"/>
    <w:rsid w:val="00437213"/>
    <w:rsid w:val="00447D79"/>
    <w:rsid w:val="00457EE6"/>
    <w:rsid w:val="004963C6"/>
    <w:rsid w:val="004A183D"/>
    <w:rsid w:val="004B0BBC"/>
    <w:rsid w:val="004D2AEC"/>
    <w:rsid w:val="004D57ED"/>
    <w:rsid w:val="004D5D0E"/>
    <w:rsid w:val="004D7E40"/>
    <w:rsid w:val="004E6C2A"/>
    <w:rsid w:val="004F09A5"/>
    <w:rsid w:val="004F443E"/>
    <w:rsid w:val="004F4C70"/>
    <w:rsid w:val="004F6C92"/>
    <w:rsid w:val="004F7BD7"/>
    <w:rsid w:val="00506185"/>
    <w:rsid w:val="00514226"/>
    <w:rsid w:val="0052499C"/>
    <w:rsid w:val="00525CA8"/>
    <w:rsid w:val="0054217E"/>
    <w:rsid w:val="00570204"/>
    <w:rsid w:val="00572946"/>
    <w:rsid w:val="00586962"/>
    <w:rsid w:val="00591D81"/>
    <w:rsid w:val="005A2E11"/>
    <w:rsid w:val="005B462D"/>
    <w:rsid w:val="005D09D8"/>
    <w:rsid w:val="00602FA9"/>
    <w:rsid w:val="006120C7"/>
    <w:rsid w:val="00614B4B"/>
    <w:rsid w:val="00616B8F"/>
    <w:rsid w:val="00623E03"/>
    <w:rsid w:val="0062469B"/>
    <w:rsid w:val="00631103"/>
    <w:rsid w:val="006337BE"/>
    <w:rsid w:val="006378F8"/>
    <w:rsid w:val="00651DF3"/>
    <w:rsid w:val="006569BB"/>
    <w:rsid w:val="00656B45"/>
    <w:rsid w:val="00662798"/>
    <w:rsid w:val="006676A2"/>
    <w:rsid w:val="00671759"/>
    <w:rsid w:val="00687322"/>
    <w:rsid w:val="00692C08"/>
    <w:rsid w:val="0069718B"/>
    <w:rsid w:val="006A1A9A"/>
    <w:rsid w:val="006B28DA"/>
    <w:rsid w:val="006D27EA"/>
    <w:rsid w:val="006D6D3A"/>
    <w:rsid w:val="00713F95"/>
    <w:rsid w:val="007264F3"/>
    <w:rsid w:val="0074657B"/>
    <w:rsid w:val="00750DE4"/>
    <w:rsid w:val="00795F48"/>
    <w:rsid w:val="007974CD"/>
    <w:rsid w:val="007A2039"/>
    <w:rsid w:val="007A23F6"/>
    <w:rsid w:val="007A793B"/>
    <w:rsid w:val="007B3926"/>
    <w:rsid w:val="007C59CC"/>
    <w:rsid w:val="007C5F2F"/>
    <w:rsid w:val="007D53DD"/>
    <w:rsid w:val="007E5944"/>
    <w:rsid w:val="007F22D4"/>
    <w:rsid w:val="007F263F"/>
    <w:rsid w:val="00821ACE"/>
    <w:rsid w:val="00822F1E"/>
    <w:rsid w:val="0083297E"/>
    <w:rsid w:val="00835446"/>
    <w:rsid w:val="00857D0E"/>
    <w:rsid w:val="008626E1"/>
    <w:rsid w:val="00873477"/>
    <w:rsid w:val="00880AFA"/>
    <w:rsid w:val="008A5721"/>
    <w:rsid w:val="008D6D65"/>
    <w:rsid w:val="008E5F83"/>
    <w:rsid w:val="008F51CC"/>
    <w:rsid w:val="0090417E"/>
    <w:rsid w:val="009073FA"/>
    <w:rsid w:val="00930A32"/>
    <w:rsid w:val="00931645"/>
    <w:rsid w:val="009435AD"/>
    <w:rsid w:val="00946C1F"/>
    <w:rsid w:val="00953873"/>
    <w:rsid w:val="0095750B"/>
    <w:rsid w:val="009623EF"/>
    <w:rsid w:val="009A27F4"/>
    <w:rsid w:val="009A43C6"/>
    <w:rsid w:val="009E6214"/>
    <w:rsid w:val="009F3480"/>
    <w:rsid w:val="009F6988"/>
    <w:rsid w:val="00A0577C"/>
    <w:rsid w:val="00A06374"/>
    <w:rsid w:val="00A15843"/>
    <w:rsid w:val="00A47A86"/>
    <w:rsid w:val="00A55598"/>
    <w:rsid w:val="00A57B9F"/>
    <w:rsid w:val="00A63B33"/>
    <w:rsid w:val="00A66C21"/>
    <w:rsid w:val="00A73B47"/>
    <w:rsid w:val="00AA00B2"/>
    <w:rsid w:val="00AA2795"/>
    <w:rsid w:val="00AA7743"/>
    <w:rsid w:val="00AB1E05"/>
    <w:rsid w:val="00AF014D"/>
    <w:rsid w:val="00B32A76"/>
    <w:rsid w:val="00B44857"/>
    <w:rsid w:val="00B56A97"/>
    <w:rsid w:val="00B70C09"/>
    <w:rsid w:val="00B70E82"/>
    <w:rsid w:val="00B932A4"/>
    <w:rsid w:val="00B95931"/>
    <w:rsid w:val="00BB162C"/>
    <w:rsid w:val="00BB4B31"/>
    <w:rsid w:val="00BC791A"/>
    <w:rsid w:val="00BD63C0"/>
    <w:rsid w:val="00BF3483"/>
    <w:rsid w:val="00C11B5B"/>
    <w:rsid w:val="00C11F93"/>
    <w:rsid w:val="00C21303"/>
    <w:rsid w:val="00C54766"/>
    <w:rsid w:val="00C55B2E"/>
    <w:rsid w:val="00C604FB"/>
    <w:rsid w:val="00C67DA9"/>
    <w:rsid w:val="00C7627F"/>
    <w:rsid w:val="00C7767B"/>
    <w:rsid w:val="00C811D1"/>
    <w:rsid w:val="00C86D92"/>
    <w:rsid w:val="00CA71E4"/>
    <w:rsid w:val="00CB325E"/>
    <w:rsid w:val="00CC5F93"/>
    <w:rsid w:val="00CD6A0E"/>
    <w:rsid w:val="00CD7897"/>
    <w:rsid w:val="00CE1881"/>
    <w:rsid w:val="00CF210B"/>
    <w:rsid w:val="00D36A3C"/>
    <w:rsid w:val="00D43C47"/>
    <w:rsid w:val="00D45322"/>
    <w:rsid w:val="00D5221D"/>
    <w:rsid w:val="00D62B7E"/>
    <w:rsid w:val="00D6718A"/>
    <w:rsid w:val="00D67A95"/>
    <w:rsid w:val="00D84F32"/>
    <w:rsid w:val="00D87F26"/>
    <w:rsid w:val="00D90AE4"/>
    <w:rsid w:val="00DA1E44"/>
    <w:rsid w:val="00DB0D51"/>
    <w:rsid w:val="00DB40B2"/>
    <w:rsid w:val="00DC3B29"/>
    <w:rsid w:val="00DC7225"/>
    <w:rsid w:val="00DE2E59"/>
    <w:rsid w:val="00DE399C"/>
    <w:rsid w:val="00DF1E71"/>
    <w:rsid w:val="00DF3F0C"/>
    <w:rsid w:val="00E25028"/>
    <w:rsid w:val="00E61B84"/>
    <w:rsid w:val="00E66F89"/>
    <w:rsid w:val="00E72B61"/>
    <w:rsid w:val="00E7754F"/>
    <w:rsid w:val="00E90DA3"/>
    <w:rsid w:val="00E943A8"/>
    <w:rsid w:val="00EA6F47"/>
    <w:rsid w:val="00EB4DA4"/>
    <w:rsid w:val="00EC1941"/>
    <w:rsid w:val="00EC7CCC"/>
    <w:rsid w:val="00ED2394"/>
    <w:rsid w:val="00F1229A"/>
    <w:rsid w:val="00F26116"/>
    <w:rsid w:val="00F40E7B"/>
    <w:rsid w:val="00F50C0E"/>
    <w:rsid w:val="00F678D4"/>
    <w:rsid w:val="00F765CD"/>
    <w:rsid w:val="00F91906"/>
    <w:rsid w:val="00F9358D"/>
    <w:rsid w:val="00F94263"/>
    <w:rsid w:val="00FA1CF8"/>
    <w:rsid w:val="00FC2981"/>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customStyle="1" w:styleId="normaltextrun">
    <w:name w:val="normaltextrun"/>
    <w:basedOn w:val="DefaultParagraphFont"/>
    <w:rsid w:val="003000AF"/>
  </w:style>
  <w:style w:type="character" w:customStyle="1" w:styleId="eop">
    <w:name w:val="eop"/>
    <w:basedOn w:val="DefaultParagraphFont"/>
    <w:rsid w:val="003000AF"/>
  </w:style>
  <w:style w:type="paragraph" w:styleId="NoSpacing">
    <w:name w:val="No Spacing"/>
    <w:uiPriority w:val="1"/>
    <w:qFormat/>
    <w:rsid w:val="003000AF"/>
    <w:rPr>
      <w:rFonts w:ascii="Times New Roman" w:eastAsia="Times New Roman" w:hAnsi="Times New Roman" w:cs="Times New Roman"/>
      <w:sz w:val="24"/>
      <w:szCs w:val="24"/>
      <w:lang w:val="en-IE"/>
    </w:rPr>
  </w:style>
  <w:style w:type="paragraph" w:styleId="Title">
    <w:name w:val="Title"/>
    <w:basedOn w:val="Normal"/>
    <w:next w:val="Normal"/>
    <w:link w:val="TitleChar"/>
    <w:qFormat/>
    <w:rsid w:val="00692C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2C08"/>
    <w:rPr>
      <w:rFonts w:asciiTheme="majorHAnsi" w:eastAsiaTheme="majorEastAsia" w:hAnsiTheme="majorHAnsi" w:cstheme="majorBidi"/>
      <w:spacing w:val="-10"/>
      <w:kern w:val="28"/>
      <w:sz w:val="56"/>
      <w:szCs w:val="56"/>
      <w:lang w:val="en-IE"/>
    </w:rPr>
  </w:style>
  <w:style w:type="paragraph" w:styleId="IntenseQuote">
    <w:name w:val="Intense Quote"/>
    <w:basedOn w:val="Normal"/>
    <w:next w:val="Normal"/>
    <w:link w:val="IntenseQuoteChar"/>
    <w:uiPriority w:val="30"/>
    <w:qFormat/>
    <w:rsid w:val="00DB40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40B2"/>
    <w:rPr>
      <w:rFonts w:ascii="Times New Roman" w:eastAsia="Times New Roman" w:hAnsi="Times New Roman" w:cs="Times New Roman"/>
      <w:i/>
      <w:iCs/>
      <w:color w:val="2E74B5" w:themeColor="accent1" w:themeShade="BF"/>
      <w:sz w:val="24"/>
      <w:szCs w:val="24"/>
      <w:lang w:val="en-IE"/>
    </w:rPr>
  </w:style>
  <w:style w:type="paragraph" w:customStyle="1" w:styleId="cdt4ke">
    <w:name w:val="cdt4ke"/>
    <w:basedOn w:val="Normal"/>
    <w:rsid w:val="000E497A"/>
    <w:pPr>
      <w:spacing w:before="100" w:beforeAutospacing="1" w:after="100" w:afterAutospacing="1"/>
    </w:pPr>
    <w:rPr>
      <w:lang w:val="en-GB" w:eastAsia="en-GB"/>
    </w:rPr>
  </w:style>
  <w:style w:type="paragraph" w:styleId="Revision">
    <w:name w:val="Revision"/>
    <w:hidden/>
    <w:uiPriority w:val="99"/>
    <w:semiHidden/>
    <w:rsid w:val="00177705"/>
    <w:rPr>
      <w:rFonts w:ascii="Times New Roman" w:eastAsia="Times New Roman" w:hAnsi="Times New Roman" w:cs="Times New Roman"/>
      <w:sz w:val="24"/>
      <w:szCs w:val="24"/>
      <w:lang w:val="en-IE"/>
    </w:rPr>
  </w:style>
  <w:style w:type="character" w:styleId="Emphasis">
    <w:name w:val="Emphasis"/>
    <w:basedOn w:val="DefaultParagraphFont"/>
    <w:uiPriority w:val="20"/>
    <w:qFormat/>
    <w:rsid w:val="0074657B"/>
    <w:rPr>
      <w:i/>
      <w:iCs/>
    </w:rPr>
  </w:style>
  <w:style w:type="paragraph" w:customStyle="1" w:styleId="isselectedend">
    <w:name w:val="isselectedend"/>
    <w:basedOn w:val="Normal"/>
    <w:rsid w:val="00662798"/>
    <w:pPr>
      <w:spacing w:before="100" w:beforeAutospacing="1" w:after="100" w:afterAutospacing="1"/>
    </w:pPr>
    <w:rPr>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a586b747-2a7c-4f57-bcd1-e81df5c8c005" origin="userSelected">
  <element uid="id_classification_nonbusiness" value=""/>
</sisl>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54R2p0S3VqeHlFcjdkT0tDdW9QMXA5ZmVrTTRwZ0paNjwvZWxoPjxjb25maWc+Q0JvSTwvY29uZmlnPjxwb2w+U3RhbmRhcmRVc2VyPC9wb2w+PHN1bW1hcnk+VW5yZXN0cmljdGVk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WU6N/CENQ5Vjgr14CKf/BunZaAjKJ0wwukq/420bxpE=</DigestValue>
      </Reference>
      <Reference URI="#INFO">
        <DigestMethod Algorithm="http://www.w3.org/2001/04/xmlenc#sha256"/>
        <DigestValue>u+UoOC2Kt+iAK1YZocebQEyVFiGfjytVW3w6VmwXM0s=</DigestValue>
      </Reference>
    </SignedInfo>
    <SignatureValue>dXgyGsIZnHJW9DYrk6yyVrwI9Bx+suwGhFMZnCqZy9IE7w5KLy2i/I2lmBRqV2C4T+dWM+QXqZFJCcZLWs6IoQ==</SignatureValue>
    <Object Id="INFO">
      <ArrayOfString xmlns:xsi="http://www.w3.org/2001/XMLSchema-instance" xmlns:xsd="http://www.w3.org/2001/XMLSchema" xmlns="">
        <string>xGjtKujxyEr7dOKCuoP1p9fekM4pgJZ6</string>
      </ArrayOfString>
    </Object>
  </Signature>
</WrappedLabelInfo>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customXml/itemProps2.xml><?xml version="1.0" encoding="utf-8"?>
<ds:datastoreItem xmlns:ds="http://schemas.openxmlformats.org/officeDocument/2006/customXml" ds:itemID="{6D86AE27-B3F8-4B43-A247-E16048DC032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E748BC1-5CC8-4A7C-86D0-D54CE9F751E0}">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3376</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Unrestricted</cp:keywords>
  <dc:description/>
  <cp:lastModifiedBy>Shayle Ravera</cp:lastModifiedBy>
  <cp:revision>19</cp:revision>
  <dcterms:created xsi:type="dcterms:W3CDTF">2026-06-12T11:47:00Z</dcterms:created>
  <dcterms:modified xsi:type="dcterms:W3CDTF">2026-06-18T10:02:00Z</dcterms:modified>
  <cp:category>Unrestricted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docIndexRef">
    <vt:lpwstr>1a2d253e-d134-4a41-8a20-c1ff20f619c5</vt:lpwstr>
  </property>
  <property fmtid="{D5CDD505-2E9C-101B-9397-08002B2CF9AE}" pid="4" name="bjSaver">
    <vt:lpwstr>cBY1RYcpd6N3sRo91bPdD+US8t2vjZxx</vt:lpwstr>
  </property>
  <property fmtid="{D5CDD505-2E9C-101B-9397-08002B2CF9AE}" pid="5"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Unrestricted</vt:lpwstr>
  </property>
  <property fmtid="{D5CDD505-2E9C-101B-9397-08002B2CF9AE}" pid="8" name="bjClsUserRVM">
    <vt:lpwstr>[]</vt:lpwstr>
  </property>
  <property fmtid="{D5CDD505-2E9C-101B-9397-08002B2CF9AE}" pid="9" name="bjHeaderBothDocProperty">
    <vt:lpwstr>Central Bank of Ireland - UNRESTRICTED</vt:lpwstr>
  </property>
  <property fmtid="{D5CDD505-2E9C-101B-9397-08002B2CF9AE}" pid="10" name="bjHeaderFirstPageDocProperty">
    <vt:lpwstr>Central Bank of Ireland - UNRESTRICTED</vt:lpwstr>
  </property>
  <property fmtid="{D5CDD505-2E9C-101B-9397-08002B2CF9AE}" pid="11" name="bjHeaderEvenPageDocProperty">
    <vt:lpwstr>Central Bank of Ireland - UNRESTRICTED</vt:lpwstr>
  </property>
  <property fmtid="{D5CDD505-2E9C-101B-9397-08002B2CF9AE}" pid="12" name="bjpmDocIH">
    <vt:lpwstr>IaBSIENL6Pngj9IlfhJvLMkB3t4WKZGu</vt:lpwstr>
  </property>
  <property fmtid="{D5CDD505-2E9C-101B-9397-08002B2CF9AE}" pid="13" name="_NewReviewCycle">
    <vt:lpwstr/>
  </property>
</Properties>
</file>