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3174" w14:textId="77777777" w:rsidR="00D6718A" w:rsidRDefault="00D6718A" w:rsidP="009E3778">
      <w:pPr>
        <w:pBdr>
          <w:bottom w:val="single" w:sz="12" w:space="1" w:color="auto"/>
        </w:pBdr>
        <w:ind w:left="1418" w:hanging="1418"/>
        <w:jc w:val="center"/>
        <w:rPr>
          <w:b/>
        </w:rPr>
      </w:pPr>
      <w:r>
        <w:rPr>
          <w:b/>
          <w:noProof/>
          <w:lang w:eastAsia="en-IE"/>
        </w:rPr>
        <w:drawing>
          <wp:inline distT="0" distB="0" distL="0" distR="0" wp14:anchorId="2CE7FE31" wp14:editId="5B0F59AB">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6B02F3D9" w14:textId="77777777" w:rsidR="00D6718A" w:rsidRDefault="00D6718A" w:rsidP="00D6718A">
      <w:pPr>
        <w:rPr>
          <w:b/>
        </w:rPr>
      </w:pPr>
    </w:p>
    <w:p w14:paraId="6B51BB53" w14:textId="77777777" w:rsidR="00D6718A" w:rsidRDefault="00D6718A" w:rsidP="00D6718A">
      <w:pPr>
        <w:jc w:val="center"/>
        <w:rPr>
          <w:rFonts w:ascii="Arial" w:hAnsi="Arial" w:cs="Arial"/>
          <w:b/>
        </w:rPr>
      </w:pPr>
      <w:r>
        <w:rPr>
          <w:rFonts w:ascii="Arial" w:hAnsi="Arial"/>
          <w:b/>
        </w:rPr>
        <w:t>Trinity Business School</w:t>
      </w:r>
    </w:p>
    <w:p w14:paraId="398C43C8" w14:textId="77777777" w:rsidR="00AA00B2" w:rsidRDefault="00AA00B2" w:rsidP="00D6718A">
      <w:pPr>
        <w:jc w:val="center"/>
        <w:rPr>
          <w:rFonts w:ascii="Arial" w:hAnsi="Arial" w:cs="Arial"/>
          <w:b/>
        </w:rPr>
      </w:pPr>
    </w:p>
    <w:p w14:paraId="55112765" w14:textId="77777777" w:rsidR="00EC1941" w:rsidRDefault="00F26116" w:rsidP="00CA71E4">
      <w:pPr>
        <w:pStyle w:val="Heading1"/>
        <w:jc w:val="center"/>
        <w:rPr>
          <w:rFonts w:ascii="Arial" w:hAnsi="Arial" w:cs="Arial"/>
        </w:rPr>
      </w:pPr>
      <w:r>
        <w:rPr>
          <w:rFonts w:ascii="Arial" w:hAnsi="Arial"/>
        </w:rPr>
        <w:t>Digital Entrepreneurship &amp; AI</w:t>
      </w:r>
    </w:p>
    <w:p w14:paraId="0E21426F" w14:textId="77777777" w:rsidR="00D6718A" w:rsidRDefault="00177705" w:rsidP="00CA71E4">
      <w:pPr>
        <w:pStyle w:val="Heading1"/>
        <w:jc w:val="center"/>
        <w:rPr>
          <w:rFonts w:ascii="Arial" w:hAnsi="Arial" w:cs="Arial"/>
        </w:rPr>
      </w:pPr>
      <w:r>
        <w:rPr>
          <w:rFonts w:ascii="Arial" w:hAnsi="Arial"/>
        </w:rPr>
        <w:t>2026/2027</w:t>
      </w:r>
    </w:p>
    <w:p w14:paraId="2CFE4FA7" w14:textId="77777777" w:rsidR="009435AD" w:rsidRDefault="009435AD" w:rsidP="009435AD"/>
    <w:p w14:paraId="33427D67" w14:textId="77777777" w:rsidR="009435AD" w:rsidRPr="009435AD" w:rsidRDefault="009435AD" w:rsidP="009435AD"/>
    <w:p w14:paraId="18D1BA0D" w14:textId="77777777" w:rsidR="00D6718A" w:rsidRDefault="00D6718A" w:rsidP="00D6718A"/>
    <w:p w14:paraId="40DB5233" w14:textId="77777777" w:rsidR="003000AF" w:rsidRPr="00A02AA9" w:rsidRDefault="003000AF" w:rsidP="005446DC">
      <w:pPr>
        <w:pStyle w:val="NoSpacing"/>
        <w:spacing w:line="276" w:lineRule="auto"/>
      </w:pPr>
      <w:r>
        <w:rPr>
          <w:b/>
        </w:rPr>
        <w:t xml:space="preserve">MODULE CODE: </w:t>
      </w:r>
      <w:r>
        <w:t>BUU44712</w:t>
      </w:r>
    </w:p>
    <w:p w14:paraId="38ED4153" w14:textId="77777777" w:rsidR="003000AF" w:rsidRPr="00A02AA9" w:rsidRDefault="003000AF" w:rsidP="005446DC">
      <w:pPr>
        <w:pStyle w:val="NoSpacing"/>
        <w:spacing w:line="276" w:lineRule="auto"/>
      </w:pPr>
      <w:r>
        <w:rPr>
          <w:b/>
        </w:rPr>
        <w:t xml:space="preserve">MODULE NAME: </w:t>
      </w:r>
      <w:r>
        <w:t>Digital Entrepreneurship &amp; AI</w:t>
      </w:r>
    </w:p>
    <w:p w14:paraId="00EFDBFB" w14:textId="77777777" w:rsidR="003000AF" w:rsidRDefault="003000AF" w:rsidP="005446DC">
      <w:pPr>
        <w:pStyle w:val="NoSpacing"/>
        <w:spacing w:line="276" w:lineRule="auto"/>
      </w:pPr>
      <w:r>
        <w:rPr>
          <w:b/>
        </w:rPr>
        <w:t xml:space="preserve">ECTS: </w:t>
      </w:r>
      <w:r>
        <w:t xml:space="preserve">5 ECTS </w:t>
      </w:r>
    </w:p>
    <w:p w14:paraId="0CD6E2F6" w14:textId="77777777" w:rsidR="003000AF" w:rsidRPr="00A02AA9" w:rsidRDefault="003000AF" w:rsidP="005446DC">
      <w:pPr>
        <w:pStyle w:val="NoSpacing"/>
        <w:spacing w:line="276" w:lineRule="auto"/>
      </w:pPr>
      <w:r>
        <w:rPr>
          <w:b/>
        </w:rPr>
        <w:t>Lecturer:</w:t>
      </w:r>
      <w:r w:rsidR="0010310A">
        <w:rPr>
          <w:rFonts w:eastAsiaTheme="minorEastAsia" w:hint="eastAsia"/>
          <w:b/>
          <w:lang w:eastAsia="ko-KR"/>
        </w:rPr>
        <w:t xml:space="preserve"> </w:t>
      </w:r>
      <w:r>
        <w:t>Ilyung Cheong</w:t>
      </w:r>
    </w:p>
    <w:p w14:paraId="2ACDA261" w14:textId="77777777" w:rsidR="003000AF" w:rsidRPr="0035629C" w:rsidRDefault="003000AF" w:rsidP="005446DC">
      <w:pPr>
        <w:pStyle w:val="NoSpacing"/>
        <w:spacing w:line="276" w:lineRule="auto"/>
        <w:rPr>
          <w:bCs/>
          <w:sz w:val="18"/>
          <w:szCs w:val="18"/>
        </w:rPr>
      </w:pPr>
      <w:r>
        <w:rPr>
          <w:b/>
        </w:rPr>
        <w:t>E-mail:</w:t>
      </w:r>
      <w:r w:rsidR="0010310A">
        <w:rPr>
          <w:rFonts w:eastAsiaTheme="minorEastAsia" w:hint="eastAsia"/>
          <w:b/>
          <w:lang w:eastAsia="ko-KR"/>
        </w:rPr>
        <w:t xml:space="preserve"> </w:t>
      </w:r>
      <w:r>
        <w:t>cheongi@tcd.ie</w:t>
      </w:r>
    </w:p>
    <w:p w14:paraId="2DDB2C42" w14:textId="77777777" w:rsidR="003000AF" w:rsidRPr="0035629C" w:rsidRDefault="003000AF" w:rsidP="005446DC">
      <w:pPr>
        <w:pStyle w:val="NoSpacing"/>
        <w:spacing w:line="276" w:lineRule="auto"/>
        <w:rPr>
          <w:rStyle w:val="normaltextrun"/>
        </w:rPr>
      </w:pPr>
      <w:r>
        <w:rPr>
          <w:b/>
        </w:rPr>
        <w:t xml:space="preserve">Office Hours: </w:t>
      </w:r>
      <w:r>
        <w:t>Available by appointment.</w:t>
      </w:r>
    </w:p>
    <w:p w14:paraId="4C3DA6F8" w14:textId="77777777" w:rsidR="003000AF" w:rsidRPr="0035629C" w:rsidRDefault="003000AF" w:rsidP="005446DC">
      <w:pPr>
        <w:ind w:left="2127" w:hanging="2127"/>
        <w:rPr>
          <w:b/>
        </w:rPr>
      </w:pPr>
    </w:p>
    <w:p w14:paraId="743B691F" w14:textId="77777777" w:rsidR="003000AF" w:rsidRPr="00C74266" w:rsidRDefault="003000AF" w:rsidP="005446DC">
      <w:pPr>
        <w:ind w:left="2127" w:hanging="2127"/>
        <w:rPr>
          <w:rFonts w:eastAsiaTheme="minorEastAsia"/>
          <w:bCs/>
          <w:lang w:eastAsia="ko-KR"/>
        </w:rPr>
      </w:pPr>
      <w:r>
        <w:rPr>
          <w:b/>
        </w:rPr>
        <w:t xml:space="preserve">Pre-Requisite: </w:t>
      </w:r>
      <w:r w:rsidRPr="00C74266">
        <w:rPr>
          <w:bCs/>
        </w:rPr>
        <w:t>BUU22570 Creative Thinking, Innovation and Entrepreneurial Action</w:t>
      </w:r>
    </w:p>
    <w:p w14:paraId="263CB782" w14:textId="77777777" w:rsidR="003000AF" w:rsidRPr="00C74266" w:rsidRDefault="003000AF" w:rsidP="005446DC">
      <w:pPr>
        <w:ind w:left="2127" w:hanging="2127"/>
        <w:rPr>
          <w:rFonts w:eastAsiaTheme="minorEastAsia"/>
          <w:bCs/>
          <w:lang w:eastAsia="ko-KR"/>
        </w:rPr>
      </w:pPr>
      <w:r>
        <w:rPr>
          <w:b/>
        </w:rPr>
        <w:t xml:space="preserve">Available to exchange Students: </w:t>
      </w:r>
      <w:r w:rsidRPr="00C74266">
        <w:rPr>
          <w:bCs/>
        </w:rPr>
        <w:t>Yes</w:t>
      </w:r>
      <w:r>
        <w:rPr>
          <w:b/>
        </w:rPr>
        <w:t xml:space="preserve"> </w:t>
      </w:r>
    </w:p>
    <w:p w14:paraId="0258C9C7" w14:textId="77777777" w:rsidR="00193AA7" w:rsidRDefault="00193AA7" w:rsidP="005446DC">
      <w:pPr>
        <w:ind w:left="2127" w:hanging="2127"/>
        <w:rPr>
          <w:rFonts w:ascii="Arial" w:hAnsi="Arial" w:cs="Arial"/>
          <w:b/>
        </w:rPr>
      </w:pPr>
    </w:p>
    <w:p w14:paraId="234178B7" w14:textId="77777777" w:rsidR="00D6718A" w:rsidRDefault="00D6718A" w:rsidP="005446DC">
      <w:pPr>
        <w:pStyle w:val="Heading1"/>
        <w:rPr>
          <w:rFonts w:ascii="Arial" w:hAnsi="Arial" w:cs="Arial"/>
        </w:rPr>
      </w:pPr>
    </w:p>
    <w:p w14:paraId="21C0B869" w14:textId="77777777" w:rsidR="00D6718A" w:rsidRDefault="00D6718A" w:rsidP="005446DC">
      <w:pPr>
        <w:pStyle w:val="Heading1"/>
        <w:rPr>
          <w:rFonts w:ascii="Arial" w:hAnsi="Arial" w:cs="Arial"/>
        </w:rPr>
      </w:pPr>
      <w:r>
        <w:rPr>
          <w:rFonts w:ascii="Arial" w:hAnsi="Arial"/>
        </w:rPr>
        <w:t>MODULE DESCRIPTION</w:t>
      </w:r>
    </w:p>
    <w:p w14:paraId="796F59E6" w14:textId="77777777" w:rsidR="00D6718A" w:rsidRDefault="00D6718A" w:rsidP="005446DC">
      <w:pPr>
        <w:rPr>
          <w:rFonts w:eastAsiaTheme="minorEastAsia"/>
          <w:lang w:eastAsia="ko-KR"/>
        </w:rPr>
      </w:pPr>
      <w:r>
        <w:t>Digital Entrepreneurship &amp; AI is a module that helps students identify, evaluate and develop digital venture opportunities in an AI-enabled business environment. The module combines entrepreneurship methods, digital marketing strategy and practical AI-supported prototyping. Students move from problem discovery and idea generation to idea evaluation, Lean Canvas development, market and competitor analysis, customer discovery, proof experiments and launch-ready digital prototypes. The emphasis is not on using AI to produce generic outputs, but on using AI critically and responsibly to improve entrepreneurial judgement, evidence gathering, creative production and communication. Rather than treating AI as a set of fixed tools to master, the module focuses on helping students learn how to learn with AI in a rapidly changing digital environment.</w:t>
      </w:r>
    </w:p>
    <w:p w14:paraId="3FD8D0E1" w14:textId="77777777" w:rsidR="00604744" w:rsidRPr="00604744" w:rsidRDefault="00604744" w:rsidP="005446DC">
      <w:pPr>
        <w:rPr>
          <w:rFonts w:ascii="Arial" w:eastAsiaTheme="minorEastAsia" w:hAnsi="Arial" w:cs="Arial"/>
          <w:lang w:eastAsia="ko-KR"/>
        </w:rPr>
      </w:pPr>
    </w:p>
    <w:p w14:paraId="7BD2192F" w14:textId="77777777" w:rsidR="00D6718A" w:rsidRDefault="00D6718A" w:rsidP="005446DC">
      <w:pPr>
        <w:rPr>
          <w:rFonts w:ascii="Arial" w:hAnsi="Arial" w:cs="Arial"/>
          <w:b/>
        </w:rPr>
      </w:pPr>
      <w:r>
        <w:rPr>
          <w:rFonts w:ascii="Arial" w:hAnsi="Arial"/>
          <w:b/>
        </w:rPr>
        <w:t>LEARNING AND TEACHING APPROACH</w:t>
      </w:r>
    </w:p>
    <w:p w14:paraId="461D0AEC" w14:textId="77777777" w:rsidR="00E72B61" w:rsidRDefault="00E72B61" w:rsidP="005446DC">
      <w:pPr>
        <w:rPr>
          <w:rFonts w:eastAsiaTheme="minorEastAsia"/>
          <w:lang w:eastAsia="ko-KR"/>
        </w:rPr>
      </w:pPr>
      <w:r>
        <w:t xml:space="preserve">The module uses a practical, workshop-based and project-led approach. Short lectures introduce core entrepreneurship, innovation and digital marketing concepts, while in-class activities and AI tool demonstrations help students apply these ideas to digital venture development. Students </w:t>
      </w:r>
      <w:r>
        <w:lastRenderedPageBreak/>
        <w:t>work individually and in teams to move from problem identification and idea evaluation toward market analysis, customer validation and pre-launch digital prototyping.</w:t>
      </w:r>
      <w:r>
        <w:br/>
        <w:t>The module does not focus on training students in fixed AI tools. Instead, it emphasises learning how to learn with AI: asking better questions, evaluating AI outputs critically, adapting to emerging tools, and using AI as part of an evidence-based entrepreneurial learning process.</w:t>
      </w:r>
      <w:r>
        <w:br/>
        <w:t>Students will also be introduced to essential entrepreneurial mindsets and applied examples that help them think about customer value, unmet needs, offer design, validation, trust, brand meaning and competitive positioning.</w:t>
      </w:r>
      <w:r>
        <w:br/>
        <w:t>Because AI technologies are changing rapidly, the precise course content, examples, tools, in-class activities, sequencing and pace may be adjusted during the semester. Any such changes will be communicated through Blackboard and/or in class.</w:t>
      </w:r>
      <w:r w:rsidR="00C74266" w:rsidRPr="00C74266">
        <w:t xml:space="preserve"> </w:t>
      </w:r>
      <w:r w:rsidR="00C74266">
        <w:t>Tutorials for AI practice and presentations will be announced once the schedule has been confirmed.</w:t>
      </w:r>
    </w:p>
    <w:p w14:paraId="6338DA79" w14:textId="77777777" w:rsidR="00162FFF" w:rsidRPr="00162FFF" w:rsidRDefault="00162FFF" w:rsidP="005446DC">
      <w:pPr>
        <w:rPr>
          <w:rFonts w:eastAsiaTheme="minorEastAsia"/>
          <w:highlight w:val="yellow"/>
          <w:lang w:eastAsia="ko-KR"/>
        </w:rPr>
      </w:pPr>
    </w:p>
    <w:p w14:paraId="17222C86" w14:textId="77777777" w:rsidR="008626E1" w:rsidRPr="007A053E" w:rsidRDefault="008626E1" w:rsidP="00C175CC">
      <w:pPr>
        <w:pStyle w:val="Heading1"/>
      </w:pPr>
      <w:r>
        <w:rPr>
          <w:rFonts w:ascii="Arial" w:hAnsi="Arial"/>
        </w:rPr>
        <w:t>MODULE-LEVEL LEARNING OUTCOMES</w:t>
      </w:r>
    </w:p>
    <w:p w14:paraId="1512DEFC" w14:textId="77777777" w:rsidR="00F26116" w:rsidRPr="00C175CC" w:rsidRDefault="008626E1" w:rsidP="00C175CC">
      <w:pPr>
        <w:rPr>
          <w:rFonts w:eastAsiaTheme="minorEastAsia"/>
          <w:lang w:eastAsia="ko-KR"/>
        </w:rPr>
      </w:pPr>
      <w:r>
        <w:t>Having completed this module, the student should be able to:</w:t>
      </w:r>
    </w:p>
    <w:p w14:paraId="100115E8" w14:textId="77777777" w:rsidR="00D6718A" w:rsidRDefault="00F26116" w:rsidP="005446D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1. Identify digital entrepreneurship opportunities by analysing customer problems, unmet needs, time-saving opportunities and AI-enabled possibilities.</w:t>
      </w:r>
      <w:r>
        <w:br/>
        <w:t>2. Generate and evaluate venture ideas using entrepreneurial criteria such as desirability, feasibility, viability, differentiation, market evidence and customer value.</w:t>
      </w:r>
      <w:r>
        <w:br/>
        <w:t>3. Apply Lean Canvas, proto-persona, competitor analysis, market signal analysis, customer discovery and pretotyping methods to develop and test business assumptions.</w:t>
      </w:r>
      <w:r>
        <w:br/>
        <w:t>4. Use and adapt to AI tools responsibly by asking effective questions, evaluating outputs critically, documenting process and applying human judgement to entrepreneurial decisions.</w:t>
      </w:r>
      <w:r>
        <w:br/>
        <w:t>5. Develop and communicate an evidence-based digital venture proposal that integrates problem insight, customer proof, value proposition, brand assets, digital channels, AI-use documentation and responsible entrepreneurial judgement.</w:t>
      </w:r>
    </w:p>
    <w:p w14:paraId="14B22D24" w14:textId="77777777" w:rsidR="00F26116" w:rsidRDefault="00F26116" w:rsidP="005446D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127A78FA" w14:textId="77777777" w:rsidR="00D6718A" w:rsidRDefault="00D6718A" w:rsidP="005446DC">
      <w:pPr>
        <w:rPr>
          <w:rFonts w:ascii="Arial" w:hAnsi="Arial" w:cs="Arial"/>
          <w:b/>
        </w:rPr>
      </w:pPr>
      <w:r>
        <w:rPr>
          <w:rFonts w:ascii="Arial" w:hAnsi="Arial"/>
          <w:b/>
        </w:rPr>
        <w:t>RELATION TO DEGREE</w:t>
      </w:r>
    </w:p>
    <w:p w14:paraId="7F7FB973" w14:textId="77777777" w:rsidR="0090417E" w:rsidRPr="004765D6" w:rsidRDefault="0090417E" w:rsidP="005446DC">
      <w:pPr>
        <w:rPr>
          <w:rFonts w:ascii="Arial" w:hAnsi="Arial" w:cs="Arial"/>
          <w:sz w:val="22"/>
          <w:szCs w:val="22"/>
        </w:rPr>
      </w:pPr>
      <w:r>
        <w:t>This module builds on BUU22570 Creative Thinking, Innovation and Entrepreneurial Action by helping students move from creative and innovative thinking toward evidence-based digital venture development. It supports students across business pathways by developing practical competencies in entrepreneurship, customer discovery, market analysis, AI literacy, digital communication, responsible technology use and professional presentation. The module is particularly relevant for students interested in digital entrepreneurship, innovation, marketing, new product development, consulting, analytics, AI-enabled business models and early-stage venture creation.</w:t>
      </w:r>
    </w:p>
    <w:p w14:paraId="61FA7E8A" w14:textId="77777777"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1D56772"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35D7CE68"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52EE6F28" w14:textId="77777777" w:rsidR="0043140A" w:rsidRDefault="009F7359">
            <w:r>
              <w:rPr>
                <w:b/>
              </w:rPr>
              <w:t>Content</w:t>
            </w:r>
          </w:p>
        </w:tc>
        <w:tc>
          <w:tcPr>
            <w:tcW w:w="3455" w:type="dxa"/>
            <w:tcBorders>
              <w:top w:val="single" w:sz="4" w:space="0" w:color="auto"/>
              <w:left w:val="single" w:sz="4" w:space="0" w:color="auto"/>
              <w:bottom w:val="single" w:sz="4" w:space="0" w:color="auto"/>
              <w:right w:val="single" w:sz="4" w:space="0" w:color="auto"/>
            </w:tcBorders>
            <w:vAlign w:val="center"/>
            <w:hideMark/>
          </w:tcPr>
          <w:p w14:paraId="202B3D35" w14:textId="77777777" w:rsidR="0043140A" w:rsidRDefault="009F7359">
            <w:r>
              <w:rPr>
                <w:b/>
              </w:rPr>
              <w:t>Indicative Number of Hours</w:t>
            </w:r>
          </w:p>
        </w:tc>
      </w:tr>
      <w:tr w:rsidR="0090417E" w14:paraId="6EEE2A13"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33162F71" w14:textId="77777777" w:rsidR="0043140A" w:rsidRDefault="009F7359">
            <w:r>
              <w:t>Lecturing / workshop hours</w:t>
            </w:r>
          </w:p>
        </w:tc>
        <w:tc>
          <w:tcPr>
            <w:tcW w:w="3455" w:type="dxa"/>
            <w:tcBorders>
              <w:top w:val="single" w:sz="4" w:space="0" w:color="auto"/>
              <w:left w:val="single" w:sz="4" w:space="0" w:color="auto"/>
              <w:bottom w:val="single" w:sz="4" w:space="0" w:color="auto"/>
              <w:right w:val="single" w:sz="4" w:space="0" w:color="auto"/>
            </w:tcBorders>
            <w:vAlign w:val="center"/>
          </w:tcPr>
          <w:p w14:paraId="7526DCB6" w14:textId="77777777" w:rsidR="0043140A" w:rsidRDefault="009F7359">
            <w:r>
              <w:t>22</w:t>
            </w:r>
          </w:p>
        </w:tc>
      </w:tr>
      <w:tr w:rsidR="0090417E" w14:paraId="6D391AA8"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41D113C3" w14:textId="77777777" w:rsidR="0043140A" w:rsidRDefault="009F7359">
            <w:r>
              <w:t>Preparation for lectures and weekly tool practice</w:t>
            </w:r>
          </w:p>
        </w:tc>
        <w:tc>
          <w:tcPr>
            <w:tcW w:w="3455" w:type="dxa"/>
            <w:tcBorders>
              <w:top w:val="single" w:sz="4" w:space="0" w:color="auto"/>
              <w:left w:val="single" w:sz="4" w:space="0" w:color="auto"/>
              <w:bottom w:val="single" w:sz="4" w:space="0" w:color="auto"/>
              <w:right w:val="single" w:sz="4" w:space="0" w:color="auto"/>
            </w:tcBorders>
            <w:vAlign w:val="center"/>
          </w:tcPr>
          <w:p w14:paraId="0CEFF93C" w14:textId="77777777" w:rsidR="0043140A" w:rsidRDefault="009F7359">
            <w:r>
              <w:t>16</w:t>
            </w:r>
          </w:p>
        </w:tc>
      </w:tr>
      <w:tr w:rsidR="0090417E" w14:paraId="72B1FB68"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42C09126" w14:textId="77777777" w:rsidR="0043140A" w:rsidRDefault="009F7359">
            <w:r>
              <w:t>Individual Assessment</w:t>
            </w:r>
          </w:p>
        </w:tc>
        <w:tc>
          <w:tcPr>
            <w:tcW w:w="3455" w:type="dxa"/>
            <w:tcBorders>
              <w:top w:val="single" w:sz="4" w:space="0" w:color="auto"/>
              <w:left w:val="single" w:sz="4" w:space="0" w:color="auto"/>
              <w:bottom w:val="single" w:sz="4" w:space="0" w:color="auto"/>
              <w:right w:val="single" w:sz="4" w:space="0" w:color="auto"/>
            </w:tcBorders>
            <w:vAlign w:val="center"/>
          </w:tcPr>
          <w:p w14:paraId="708D2ADB" w14:textId="77777777" w:rsidR="0043140A" w:rsidRDefault="009F7359">
            <w:r>
              <w:t>25</w:t>
            </w:r>
          </w:p>
        </w:tc>
      </w:tr>
      <w:tr w:rsidR="0090417E" w14:paraId="4D7ED829"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3106BBB2" w14:textId="77777777" w:rsidR="0043140A" w:rsidRDefault="009F7359">
            <w:r>
              <w:t>Group Assessment</w:t>
            </w:r>
          </w:p>
        </w:tc>
        <w:tc>
          <w:tcPr>
            <w:tcW w:w="3455" w:type="dxa"/>
            <w:tcBorders>
              <w:top w:val="single" w:sz="4" w:space="0" w:color="auto"/>
              <w:left w:val="single" w:sz="4" w:space="0" w:color="auto"/>
              <w:bottom w:val="single" w:sz="4" w:space="0" w:color="auto"/>
              <w:right w:val="single" w:sz="4" w:space="0" w:color="auto"/>
            </w:tcBorders>
            <w:vAlign w:val="center"/>
          </w:tcPr>
          <w:p w14:paraId="6A5B5954" w14:textId="77777777" w:rsidR="0043140A" w:rsidRDefault="009F7359">
            <w:r>
              <w:t>38</w:t>
            </w:r>
          </w:p>
        </w:tc>
      </w:tr>
      <w:tr w:rsidR="0090417E" w14:paraId="0DA9D146"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16378546" w14:textId="77777777" w:rsidR="0043140A" w:rsidRDefault="009F7359">
            <w: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vAlign w:val="center"/>
          </w:tcPr>
          <w:p w14:paraId="6B0082E1" w14:textId="77777777" w:rsidR="0043140A" w:rsidRDefault="009F7359">
            <w:r>
              <w:t>14</w:t>
            </w:r>
          </w:p>
        </w:tc>
      </w:tr>
      <w:tr w:rsidR="0090417E" w14:paraId="65740ECA"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46CE34AF" w14:textId="77777777" w:rsidR="0043140A" w:rsidRDefault="009F7359">
            <w:r>
              <w:lastRenderedPageBreak/>
              <w:t>Final presentation preparation</w:t>
            </w:r>
          </w:p>
        </w:tc>
        <w:tc>
          <w:tcPr>
            <w:tcW w:w="3455" w:type="dxa"/>
            <w:tcBorders>
              <w:top w:val="single" w:sz="4" w:space="0" w:color="auto"/>
              <w:left w:val="single" w:sz="4" w:space="0" w:color="auto"/>
              <w:bottom w:val="single" w:sz="4" w:space="0" w:color="auto"/>
              <w:right w:val="single" w:sz="4" w:space="0" w:color="auto"/>
            </w:tcBorders>
            <w:vAlign w:val="center"/>
          </w:tcPr>
          <w:p w14:paraId="6FC7F7A3" w14:textId="77777777" w:rsidR="0043140A" w:rsidRDefault="009F7359">
            <w:r>
              <w:t>10</w:t>
            </w:r>
          </w:p>
        </w:tc>
      </w:tr>
      <w:tr w:rsidR="0090417E" w14:paraId="6B89E23B" w14:textId="77777777" w:rsidTr="00D6718A">
        <w:tc>
          <w:tcPr>
            <w:tcW w:w="5070" w:type="dxa"/>
            <w:tcBorders>
              <w:top w:val="single" w:sz="4" w:space="0" w:color="auto"/>
              <w:left w:val="single" w:sz="4" w:space="0" w:color="auto"/>
              <w:bottom w:val="single" w:sz="4" w:space="0" w:color="auto"/>
              <w:right w:val="single" w:sz="4" w:space="0" w:color="auto"/>
            </w:tcBorders>
            <w:vAlign w:val="center"/>
            <w:hideMark/>
          </w:tcPr>
          <w:p w14:paraId="30684ED9" w14:textId="77777777" w:rsidR="0043140A" w:rsidRDefault="009F7359">
            <w:r>
              <w:rPr>
                <w:b/>
              </w:rPr>
              <w:t>Total</w:t>
            </w:r>
          </w:p>
        </w:tc>
        <w:tc>
          <w:tcPr>
            <w:tcW w:w="3455" w:type="dxa"/>
            <w:tcBorders>
              <w:top w:val="single" w:sz="4" w:space="0" w:color="auto"/>
              <w:left w:val="single" w:sz="4" w:space="0" w:color="auto"/>
              <w:bottom w:val="single" w:sz="4" w:space="0" w:color="auto"/>
              <w:right w:val="single" w:sz="4" w:space="0" w:color="auto"/>
            </w:tcBorders>
            <w:vAlign w:val="center"/>
          </w:tcPr>
          <w:p w14:paraId="2CA5B127" w14:textId="77777777" w:rsidR="0043140A" w:rsidRDefault="009F7359">
            <w:r>
              <w:rPr>
                <w:b/>
              </w:rPr>
              <w:t>125</w:t>
            </w:r>
          </w:p>
        </w:tc>
      </w:tr>
    </w:tbl>
    <w:p w14:paraId="23B8F310" w14:textId="77777777" w:rsidR="00D6718A" w:rsidRDefault="00D6718A" w:rsidP="00D6718A">
      <w:pPr>
        <w:rPr>
          <w:rFonts w:ascii="Arial" w:hAnsi="Arial" w:cs="Arial"/>
        </w:rPr>
      </w:pPr>
    </w:p>
    <w:p w14:paraId="09516995" w14:textId="77777777" w:rsidR="00D6718A" w:rsidRDefault="00D6718A" w:rsidP="00D6718A">
      <w:pPr>
        <w:pStyle w:val="Heading1"/>
        <w:rPr>
          <w:rFonts w:ascii="Arial" w:hAnsi="Arial" w:cs="Arial"/>
        </w:rPr>
      </w:pPr>
      <w:r>
        <w:rPr>
          <w:rFonts w:ascii="Arial" w:hAnsi="Arial"/>
        </w:rPr>
        <w:t>TEXTBOOKS AND REQUIRED RESOURCES</w:t>
      </w:r>
    </w:p>
    <w:p w14:paraId="134C3885" w14:textId="77777777" w:rsidR="00D6718A" w:rsidRDefault="00D6718A" w:rsidP="00D6718A"/>
    <w:p w14:paraId="6E21136A" w14:textId="77777777" w:rsidR="00FC2981" w:rsidRDefault="00163A19" w:rsidP="00FC2981">
      <w:pPr>
        <w:rPr>
          <w:rFonts w:ascii="Arial" w:hAnsi="Arial" w:cs="Arial"/>
          <w:b/>
          <w:bCs/>
          <w:sz w:val="22"/>
          <w:szCs w:val="22"/>
        </w:rPr>
      </w:pPr>
      <w:bookmarkStart w:id="0" w:name="OLE_LINK1"/>
      <w:r>
        <w:rPr>
          <w:rFonts w:ascii="Arial" w:hAnsi="Arial" w:cs="Arial"/>
          <w:b/>
          <w:bCs/>
          <w:sz w:val="22"/>
          <w:szCs w:val="22"/>
        </w:rPr>
        <w:t xml:space="preserve">Required core course textbooks: </w:t>
      </w:r>
      <w:r w:rsidR="00FC2981">
        <w:t>There is no single required core textbook for this module. Required readings, cases, videos, AI tool guides and practical task instructions will be provided through Blackboard.</w:t>
      </w:r>
    </w:p>
    <w:p w14:paraId="05F2C631" w14:textId="77777777" w:rsidR="00FC2981" w:rsidRDefault="00FC2981" w:rsidP="00FC2981">
      <w:pPr>
        <w:rPr>
          <w:rFonts w:ascii="Arial" w:hAnsi="Arial" w:cs="Arial"/>
          <w:b/>
          <w:bCs/>
          <w:sz w:val="22"/>
          <w:szCs w:val="22"/>
        </w:rPr>
      </w:pPr>
    </w:p>
    <w:bookmarkEnd w:id="0"/>
    <w:p w14:paraId="4DAA02DE" w14:textId="77777777" w:rsidR="00984C94" w:rsidRDefault="00984C94" w:rsidP="00984C94">
      <w:pPr>
        <w:pStyle w:val="Heading6"/>
        <w:tabs>
          <w:tab w:val="left" w:pos="426"/>
        </w:tabs>
        <w:ind w:left="426" w:hanging="426"/>
        <w:rPr>
          <w:rFonts w:ascii="Arial" w:hAnsi="Arial" w:cs="Arial"/>
          <w:b/>
          <w:i w:val="0"/>
          <w:sz w:val="22"/>
          <w:szCs w:val="22"/>
        </w:rPr>
      </w:pPr>
      <w:r>
        <w:rPr>
          <w:rFonts w:ascii="Arial" w:hAnsi="Arial" w:cs="Arial"/>
          <w:b/>
          <w:i w:val="0"/>
          <w:sz w:val="22"/>
          <w:szCs w:val="22"/>
        </w:rPr>
        <w:t>General Supplemental Readings</w:t>
      </w:r>
    </w:p>
    <w:p w14:paraId="0E3CD9EA" w14:textId="77777777" w:rsidR="00FC2981" w:rsidRDefault="00C71065" w:rsidP="00FC2981">
      <w:pPr>
        <w:rPr>
          <w:rFonts w:eastAsiaTheme="minorEastAsia"/>
          <w:lang w:eastAsia="ko-KR"/>
        </w:rPr>
      </w:pPr>
      <w:r w:rsidRPr="00C71065">
        <w:t>Readings will be assigned throughout the course and will be posted on Blackboard</w:t>
      </w:r>
    </w:p>
    <w:p w14:paraId="4F80A2A0" w14:textId="77777777" w:rsidR="00C71065" w:rsidRPr="00C71065" w:rsidRDefault="00C71065" w:rsidP="00FC2981">
      <w:pPr>
        <w:rPr>
          <w:rFonts w:eastAsiaTheme="minorEastAsia"/>
          <w:lang w:eastAsia="ko-KR"/>
        </w:rPr>
      </w:pPr>
    </w:p>
    <w:p w14:paraId="14EBABF2" w14:textId="77777777" w:rsidR="00D6718A" w:rsidRDefault="00D6718A" w:rsidP="00D6718A">
      <w:pPr>
        <w:pStyle w:val="Heading1"/>
        <w:rPr>
          <w:rFonts w:ascii="Arial" w:hAnsi="Arial" w:cs="Arial"/>
        </w:rPr>
      </w:pPr>
      <w:r>
        <w:rPr>
          <w:rFonts w:ascii="Arial" w:hAnsi="Arial"/>
        </w:rPr>
        <w:t>Student preparation for the module</w:t>
      </w:r>
    </w:p>
    <w:p w14:paraId="303011E5" w14:textId="77777777" w:rsidR="006337BE" w:rsidRPr="00D922BE" w:rsidRDefault="00F26116" w:rsidP="006337BE">
      <w:r>
        <w:t>Students are expected to review Blackboard materials, prepare for in-class activities, bring a laptop with an updated web browser where required, and maintain appropriate evidence of their learning process, including notes on AI use, customer research, validation activities and project decisions.</w:t>
      </w:r>
    </w:p>
    <w:p w14:paraId="3F2B53C3" w14:textId="77777777" w:rsidR="00FC2981" w:rsidRPr="00FC2981" w:rsidRDefault="00FC2981" w:rsidP="00FC2981"/>
    <w:p w14:paraId="7C3923F2" w14:textId="77777777" w:rsidR="00D6718A" w:rsidRDefault="00D6718A" w:rsidP="00D6718A">
      <w:pPr>
        <w:rPr>
          <w:rFonts w:ascii="Arial" w:hAnsi="Arial" w:cs="Arial"/>
          <w:b/>
          <w:smallCaps/>
        </w:rPr>
      </w:pPr>
      <w:r>
        <w:rPr>
          <w:rFonts w:ascii="Arial" w:hAnsi="Arial"/>
          <w:b/>
        </w:rPr>
        <w:t>COURSE COMMUNICATION</w:t>
      </w:r>
    </w:p>
    <w:p w14:paraId="3724FF63" w14:textId="77777777" w:rsidR="0090417E" w:rsidRPr="007850FF" w:rsidRDefault="00A73B47" w:rsidP="0090417E">
      <w:pPr>
        <w:rPr>
          <w:rFonts w:eastAsiaTheme="minorEastAsia"/>
          <w:lang w:eastAsia="ko-KR"/>
        </w:rPr>
      </w:pPr>
      <w:r>
        <w:t>Lecture slides and readings, assignment descriptions and announcements will be posted on Blackboard.</w:t>
      </w:r>
      <w:r>
        <w:br/>
      </w:r>
    </w:p>
    <w:p w14:paraId="21665833" w14:textId="77777777" w:rsidR="003F0525" w:rsidRDefault="00000000">
      <w:r>
        <w:rPr>
          <w:rFonts w:ascii="Arial" w:hAnsi="Arial"/>
          <w:b/>
          <w:sz w:val="22"/>
        </w:rPr>
        <w:t>Please note that all course related email communication must be sent from your official TCD email address. Emails sent from other addresses will not be attended to.</w:t>
      </w:r>
    </w:p>
    <w:p w14:paraId="6E527132" w14:textId="77777777" w:rsidR="00A97A16" w:rsidRDefault="00A97A16" w:rsidP="00A97A16">
      <w:pPr>
        <w:pStyle w:val="BodyText2"/>
        <w:jc w:val="both"/>
        <w:rPr>
          <w:rFonts w:ascii="Arial" w:hAnsi="Arial" w:cs="Arial"/>
          <w:b/>
          <w:i w:val="0"/>
          <w:iCs w:val="0"/>
          <w:sz w:val="24"/>
        </w:rPr>
      </w:pPr>
      <w:r>
        <w:rPr>
          <w:rFonts w:ascii="Arial" w:hAnsi="Arial" w:cs="Arial"/>
          <w:b/>
          <w:i w:val="0"/>
          <w:iCs w:val="0"/>
          <w:sz w:val="24"/>
        </w:rPr>
        <w:t>ASSESSMENT</w:t>
      </w:r>
    </w:p>
    <w:p w14:paraId="6BCD6EBE" w14:textId="77777777" w:rsidR="00A97A16" w:rsidRDefault="00692C08" w:rsidP="00692C08">
      <w:pPr>
        <w:rPr>
          <w:rFonts w:eastAsiaTheme="minorEastAsia"/>
          <w:lang w:eastAsia="ko-KR"/>
        </w:rPr>
      </w:pPr>
      <w:r>
        <w:t>The assessment for this course is 100% continuous assessment, split between a Group Assessment and an Individual Assessment. Detailed task instructions, rubrics, deadlines and submission requirements will be provided through Blackboard.</w:t>
      </w:r>
    </w:p>
    <w:p w14:paraId="431E584C" w14:textId="77777777" w:rsidR="00A97A16" w:rsidRPr="00E95616" w:rsidRDefault="00692C08" w:rsidP="00692C08">
      <w:pPr>
        <w:rPr>
          <w:rFonts w:eastAsiaTheme="minorEastAsia"/>
          <w:lang w:val="en-US" w:eastAsia="ko-KR"/>
        </w:rPr>
      </w:pPr>
      <w:r>
        <w:br/>
      </w:r>
      <w:r w:rsidRPr="00A97A16">
        <w:rPr>
          <w:b/>
          <w:bCs/>
        </w:rPr>
        <w:t>Assessment 1: Group Assessment - 40%.</w:t>
      </w:r>
      <w:r>
        <w:t xml:space="preserve"> Students apply entrepreneurship and AI-related knowledge to analyse a successful business and to develop a digital business idea toward the pre-launch stage, including validation through pretotyping and a go-to-market plan.</w:t>
      </w:r>
      <w:r w:rsidR="00E95616">
        <w:rPr>
          <w:rFonts w:eastAsiaTheme="minorEastAsia" w:hint="eastAsia"/>
          <w:lang w:eastAsia="ko-KR"/>
        </w:rPr>
        <w:t xml:space="preserve"> P</w:t>
      </w:r>
      <w:proofErr w:type="spellStart"/>
      <w:r w:rsidR="00E95616" w:rsidRPr="00E95616">
        <w:rPr>
          <w:rFonts w:eastAsiaTheme="minorEastAsia"/>
          <w:lang w:val="en-US" w:eastAsia="ko-KR"/>
        </w:rPr>
        <w:t>eer</w:t>
      </w:r>
      <w:proofErr w:type="spellEnd"/>
      <w:r w:rsidR="00E95616" w:rsidRPr="00E95616">
        <w:rPr>
          <w:rFonts w:eastAsiaTheme="minorEastAsia"/>
          <w:lang w:val="en-US" w:eastAsia="ko-KR"/>
        </w:rPr>
        <w:t xml:space="preserve"> evaluations will be used to rigorously identify free riders.</w:t>
      </w:r>
    </w:p>
    <w:p w14:paraId="7E2E3D63" w14:textId="77777777" w:rsidR="00C3006F" w:rsidRDefault="00692C08" w:rsidP="00692C08">
      <w:pPr>
        <w:rPr>
          <w:rFonts w:eastAsiaTheme="minorEastAsia"/>
          <w:lang w:eastAsia="ko-KR"/>
        </w:rPr>
      </w:pPr>
      <w:r>
        <w:br/>
      </w:r>
      <w:r w:rsidRPr="00A97A16">
        <w:rPr>
          <w:b/>
          <w:bCs/>
        </w:rPr>
        <w:t>Assessment 2: Individual Assessment - 60%.</w:t>
      </w:r>
      <w:r>
        <w:t xml:space="preserve"> Students develop an individual response to a problem or challenge in the future digital world. This broad assessment component may include interview evidence, individual-level and company-level responses, and in-class activities such as short quizzes or applied exercises. In-class activities, short quizzes or applied exercises are expected to form a small part of the Individual Assessment, around 10</w:t>
      </w:r>
      <w:r w:rsidR="006266D1">
        <w:rPr>
          <w:rFonts w:eastAsiaTheme="minorEastAsia" w:hint="eastAsia"/>
          <w:lang w:eastAsia="ko-KR"/>
        </w:rPr>
        <w:t>%.</w:t>
      </w:r>
    </w:p>
    <w:p w14:paraId="5D45B0FA" w14:textId="77777777" w:rsidR="0055255C" w:rsidRDefault="0055255C">
      <w:pPr>
        <w:pStyle w:val="Title"/>
        <w:rPr>
          <w:rFonts w:ascii="Times New Roman" w:hAnsi="Times New Roman"/>
          <w:sz w:val="24"/>
        </w:rPr>
      </w:pPr>
    </w:p>
    <w:p w14:paraId="4EF600BD" w14:textId="53AE3575" w:rsidR="003F0525" w:rsidRDefault="00000000">
      <w:pPr>
        <w:pStyle w:val="Title"/>
        <w:rPr>
          <w:rFonts w:ascii="Times New Roman" w:hAnsi="Times New Roman"/>
          <w:sz w:val="24"/>
        </w:rPr>
      </w:pPr>
      <w:r>
        <w:rPr>
          <w:rFonts w:ascii="Times New Roman" w:hAnsi="Times New Roman"/>
          <w:sz w:val="24"/>
        </w:rPr>
        <w:t xml:space="preserve">Students who fail the module will be required to undertake reassessment in line with </w:t>
      </w:r>
      <w:proofErr w:type="gramStart"/>
      <w:r>
        <w:rPr>
          <w:rFonts w:ascii="Times New Roman" w:hAnsi="Times New Roman"/>
          <w:sz w:val="24"/>
        </w:rPr>
        <w:t>College</w:t>
      </w:r>
      <w:proofErr w:type="gramEnd"/>
      <w:r>
        <w:rPr>
          <w:rFonts w:ascii="Times New Roman" w:hAnsi="Times New Roman"/>
          <w:sz w:val="24"/>
        </w:rPr>
        <w:t xml:space="preserve"> regulations, as communicated through Blackboard.</w:t>
      </w:r>
    </w:p>
    <w:p w14:paraId="370EF3DD" w14:textId="77777777" w:rsidR="0055255C" w:rsidRPr="0055255C" w:rsidRDefault="0055255C" w:rsidP="0055255C">
      <w:pPr>
        <w:rPr>
          <w:rFonts w:eastAsiaTheme="minorEastAsia" w:hint="eastAsia"/>
          <w:lang w:eastAsia="ko-KR"/>
        </w:rPr>
      </w:pPr>
    </w:p>
    <w:p w14:paraId="4E874394" w14:textId="77777777" w:rsidR="003F0525" w:rsidRDefault="00000000">
      <w:pPr>
        <w:pStyle w:val="Title"/>
      </w:pPr>
      <w:r>
        <w:rPr>
          <w:rFonts w:ascii="Times New Roman" w:hAnsi="Times New Roman"/>
          <w:sz w:val="24"/>
        </w:rPr>
        <w:t>Attendance at lectures and tutorials is required; any student who attends less than two-thirds of lectures and tutorials may be deemed non-satisfactory as per College regulations.</w:t>
      </w:r>
    </w:p>
    <w:p w14:paraId="36385457" w14:textId="77777777" w:rsidR="003F0525" w:rsidRDefault="00000000">
      <w:pPr>
        <w:pStyle w:val="Title"/>
      </w:pPr>
      <w:r>
        <w:rPr>
          <w:rFonts w:ascii="Times New Roman" w:hAnsi="Times New Roman"/>
          <w:sz w:val="24"/>
        </w:rPr>
        <w:t>https://www.tcd.ie/undergraduate-studies/academic-progress/attendance-course-work.php</w:t>
      </w:r>
    </w:p>
    <w:p w14:paraId="2A0863B3" w14:textId="77777777" w:rsidR="00A2264D" w:rsidRDefault="00A2264D" w:rsidP="00692C08">
      <w:pPr>
        <w:rPr>
          <w:rFonts w:eastAsiaTheme="minorEastAsia"/>
          <w:lang w:eastAsia="ko-KR"/>
        </w:rPr>
      </w:pPr>
    </w:p>
    <w:p w14:paraId="1EE5988E" w14:textId="77777777" w:rsidR="0087223F" w:rsidRPr="00C175CC" w:rsidRDefault="0087223F" w:rsidP="00C175CC">
      <w:pPr>
        <w:pStyle w:val="BodyText2"/>
        <w:pBdr>
          <w:top w:val="single" w:sz="8" w:space="1" w:color="auto"/>
          <w:left w:val="single" w:sz="4" w:space="1" w:color="auto"/>
          <w:bottom w:val="single" w:sz="8" w:space="1" w:color="auto"/>
          <w:right w:val="single" w:sz="4" w:space="4" w:color="auto"/>
        </w:pBdr>
        <w:jc w:val="center"/>
        <w:rPr>
          <w:rFonts w:ascii="Arial" w:eastAsiaTheme="minorEastAsia" w:hAnsi="Arial" w:cs="Arial"/>
          <w:i w:val="0"/>
          <w:iCs w:val="0"/>
          <w:sz w:val="24"/>
          <w:lang w:eastAsia="ko-KR"/>
        </w:rPr>
      </w:pPr>
      <w:r>
        <w:rPr>
          <w:rFonts w:ascii="Arial" w:hAnsi="Arial" w:cs="Arial"/>
          <w:b/>
          <w:i w:val="0"/>
          <w:iCs w:val="0"/>
          <w:sz w:val="24"/>
        </w:rPr>
        <w:t>MODULE SCHEDULE</w:t>
      </w:r>
    </w:p>
    <w:tbl>
      <w:tblPr>
        <w:tblStyle w:val="TableGrid"/>
        <w:tblW w:w="9351" w:type="dxa"/>
        <w:tblInd w:w="0" w:type="dxa"/>
        <w:tblLook w:val="01E0" w:firstRow="1" w:lastRow="1" w:firstColumn="1" w:lastColumn="1" w:noHBand="0" w:noVBand="0"/>
      </w:tblPr>
      <w:tblGrid>
        <w:gridCol w:w="9351"/>
      </w:tblGrid>
      <w:tr w:rsidR="0087223F" w14:paraId="2F36A6B1" w14:textId="77777777" w:rsidTr="00A2264D">
        <w:tc>
          <w:tcPr>
            <w:tcW w:w="9351" w:type="dxa"/>
            <w:tcBorders>
              <w:top w:val="single" w:sz="4" w:space="0" w:color="auto"/>
              <w:left w:val="single" w:sz="4" w:space="0" w:color="auto"/>
              <w:bottom w:val="single" w:sz="4" w:space="0" w:color="auto"/>
              <w:right w:val="single" w:sz="4" w:space="0" w:color="auto"/>
            </w:tcBorders>
            <w:hideMark/>
          </w:tcPr>
          <w:p w14:paraId="691A40D9" w14:textId="77777777" w:rsidR="0087223F" w:rsidRDefault="0087223F" w:rsidP="00857BA8">
            <w:pPr>
              <w:pStyle w:val="BodyText2"/>
              <w:jc w:val="center"/>
              <w:rPr>
                <w:rFonts w:ascii="Arial" w:hAnsi="Arial" w:cs="Arial"/>
                <w:b/>
                <w:i w:val="0"/>
                <w:iCs w:val="0"/>
                <w:sz w:val="24"/>
              </w:rPr>
            </w:pPr>
            <w:r>
              <w:rPr>
                <w:rFonts w:ascii="Arial" w:hAnsi="Arial" w:cs="Arial"/>
                <w:b/>
                <w:i w:val="0"/>
                <w:iCs w:val="0"/>
                <w:sz w:val="24"/>
              </w:rPr>
              <w:t>Michaelmas Term</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2552"/>
        <w:gridCol w:w="4819"/>
      </w:tblGrid>
      <w:tr w:rsidR="0087223F" w14:paraId="7719213A" w14:textId="77777777" w:rsidTr="00A2264D">
        <w:tc>
          <w:tcPr>
            <w:tcW w:w="988" w:type="dxa"/>
            <w:tcBorders>
              <w:top w:val="single" w:sz="4" w:space="0" w:color="auto"/>
              <w:left w:val="single" w:sz="4" w:space="0" w:color="auto"/>
              <w:bottom w:val="single" w:sz="4" w:space="0" w:color="auto"/>
              <w:right w:val="single" w:sz="4" w:space="0" w:color="auto"/>
            </w:tcBorders>
            <w:hideMark/>
          </w:tcPr>
          <w:p w14:paraId="5EA59051" w14:textId="77777777" w:rsidR="0087223F" w:rsidRDefault="0087223F" w:rsidP="00857BA8">
            <w:pPr>
              <w:pStyle w:val="Heading5"/>
              <w:jc w:val="center"/>
              <w:rPr>
                <w:rFonts w:ascii="Arial" w:hAnsi="Arial" w:cs="Arial"/>
                <w:b/>
                <w:i w:val="0"/>
                <w:sz w:val="20"/>
                <w:lang w:eastAsia="en-IE"/>
              </w:rPr>
            </w:pPr>
            <w:r>
              <w:rPr>
                <w:rFonts w:ascii="Arial" w:hAnsi="Arial" w:cs="Arial"/>
                <w:b/>
                <w:i w:val="0"/>
                <w:sz w:val="20"/>
                <w:lang w:eastAsia="en-IE"/>
              </w:rPr>
              <w:t>Session</w:t>
            </w:r>
          </w:p>
        </w:tc>
        <w:tc>
          <w:tcPr>
            <w:tcW w:w="992" w:type="dxa"/>
          </w:tcPr>
          <w:p w14:paraId="109E603A" w14:textId="77777777" w:rsidR="0087223F" w:rsidRDefault="0087223F" w:rsidP="00857BA8">
            <w:pPr>
              <w:pStyle w:val="Heading5"/>
              <w:jc w:val="center"/>
              <w:rPr>
                <w:rFonts w:ascii="Arial" w:hAnsi="Arial" w:cs="Arial"/>
                <w:b/>
                <w:i w:val="0"/>
                <w:sz w:val="20"/>
                <w:lang w:eastAsia="en-IE"/>
              </w:rPr>
            </w:pPr>
            <w:r>
              <w:rPr>
                <w:rFonts w:ascii="Arial" w:hAnsi="Arial" w:cs="Arial"/>
                <w:b/>
                <w:i w:val="0"/>
                <w:sz w:val="20"/>
                <w:lang w:eastAsia="en-IE"/>
              </w:rPr>
              <w:t>Date</w:t>
            </w:r>
          </w:p>
        </w:tc>
        <w:tc>
          <w:tcPr>
            <w:tcW w:w="2552" w:type="dxa"/>
            <w:tcBorders>
              <w:top w:val="single" w:sz="4" w:space="0" w:color="auto"/>
              <w:left w:val="single" w:sz="4" w:space="0" w:color="auto"/>
              <w:bottom w:val="single" w:sz="4" w:space="0" w:color="auto"/>
              <w:right w:val="single" w:sz="4" w:space="0" w:color="auto"/>
            </w:tcBorders>
            <w:hideMark/>
          </w:tcPr>
          <w:p w14:paraId="26DE3AA8" w14:textId="77777777" w:rsidR="0087223F" w:rsidRDefault="0087223F" w:rsidP="00857BA8">
            <w:pPr>
              <w:pStyle w:val="Heading5"/>
              <w:jc w:val="center"/>
              <w:rPr>
                <w:rFonts w:ascii="Arial" w:hAnsi="Arial" w:cs="Arial"/>
                <w:b/>
                <w:i w:val="0"/>
                <w:sz w:val="20"/>
                <w:lang w:eastAsia="en-IE"/>
              </w:rPr>
            </w:pPr>
            <w:r>
              <w:rPr>
                <w:rFonts w:ascii="Arial" w:hAnsi="Arial" w:cs="Arial"/>
                <w:b/>
                <w:i w:val="0"/>
                <w:sz w:val="20"/>
                <w:lang w:eastAsia="en-IE"/>
              </w:rPr>
              <w:t>Topic</w:t>
            </w:r>
          </w:p>
        </w:tc>
        <w:tc>
          <w:tcPr>
            <w:tcW w:w="4819" w:type="dxa"/>
            <w:tcBorders>
              <w:top w:val="single" w:sz="4" w:space="0" w:color="auto"/>
              <w:left w:val="single" w:sz="4" w:space="0" w:color="auto"/>
              <w:bottom w:val="single" w:sz="4" w:space="0" w:color="auto"/>
              <w:right w:val="single" w:sz="4" w:space="0" w:color="auto"/>
            </w:tcBorders>
            <w:hideMark/>
          </w:tcPr>
          <w:p w14:paraId="367D119A" w14:textId="77777777" w:rsidR="0087223F" w:rsidRDefault="0087223F" w:rsidP="00857BA8">
            <w:pPr>
              <w:pStyle w:val="Heading2"/>
              <w:rPr>
                <w:rFonts w:ascii="Arial" w:hAnsi="Arial" w:cs="Arial"/>
                <w:lang w:eastAsia="en-IE"/>
              </w:rPr>
            </w:pPr>
            <w:r>
              <w:rPr>
                <w:rFonts w:ascii="Arial" w:hAnsi="Arial" w:cs="Arial"/>
                <w:lang w:eastAsia="en-IE"/>
              </w:rPr>
              <w:t>Lecture &amp; readings</w:t>
            </w:r>
          </w:p>
        </w:tc>
      </w:tr>
      <w:tr w:rsidR="0087223F" w14:paraId="1F3DD70B" w14:textId="77777777" w:rsidTr="00A2264D">
        <w:trPr>
          <w:trHeight w:val="365"/>
        </w:trPr>
        <w:tc>
          <w:tcPr>
            <w:tcW w:w="988" w:type="dxa"/>
            <w:tcBorders>
              <w:top w:val="single" w:sz="4" w:space="0" w:color="auto"/>
              <w:left w:val="single" w:sz="4" w:space="0" w:color="auto"/>
              <w:bottom w:val="single" w:sz="4" w:space="0" w:color="auto"/>
              <w:right w:val="single" w:sz="4" w:space="0" w:color="auto"/>
            </w:tcBorders>
          </w:tcPr>
          <w:p w14:paraId="1A1C9792" w14:textId="77777777" w:rsidR="0087223F" w:rsidRPr="0095750B" w:rsidRDefault="0087223F" w:rsidP="009546B2">
            <w:pPr>
              <w:rPr>
                <w:lang w:eastAsia="en-IE"/>
              </w:rPr>
            </w:pPr>
            <w:r>
              <w:rPr>
                <w:lang w:eastAsia="en-IE"/>
              </w:rPr>
              <w:t>1</w:t>
            </w:r>
          </w:p>
        </w:tc>
        <w:tc>
          <w:tcPr>
            <w:tcW w:w="992" w:type="dxa"/>
            <w:vAlign w:val="center"/>
          </w:tcPr>
          <w:p w14:paraId="55EF8C49" w14:textId="77777777" w:rsidR="0087223F" w:rsidRDefault="0087223F" w:rsidP="009546B2">
            <w:pPr>
              <w:ind w:right="284"/>
              <w:rPr>
                <w:lang w:val="en-GB"/>
              </w:rPr>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61E5BAF6" w14:textId="77777777" w:rsidR="0087223F" w:rsidRPr="00C22C31" w:rsidRDefault="0087223F" w:rsidP="009546B2">
            <w:pPr>
              <w:rPr>
                <w:rFonts w:ascii="Arial" w:eastAsiaTheme="minorEastAsia" w:hAnsi="Arial" w:cs="Arial"/>
                <w:sz w:val="18"/>
                <w:szCs w:val="18"/>
                <w:lang w:eastAsia="ko-KR"/>
              </w:rPr>
            </w:pPr>
            <w:r>
              <w:t xml:space="preserve">Module Overview, </w:t>
            </w:r>
            <w:r w:rsidR="00C22C31">
              <w:rPr>
                <w:rFonts w:eastAsiaTheme="minorEastAsia" w:hint="eastAsia"/>
                <w:lang w:eastAsia="ko-KR"/>
              </w:rPr>
              <w:t>Idea Generation</w:t>
            </w:r>
          </w:p>
        </w:tc>
        <w:tc>
          <w:tcPr>
            <w:tcW w:w="4819" w:type="dxa"/>
            <w:tcBorders>
              <w:top w:val="single" w:sz="4" w:space="0" w:color="auto"/>
              <w:left w:val="single" w:sz="4" w:space="0" w:color="auto"/>
              <w:bottom w:val="single" w:sz="4" w:space="0" w:color="auto"/>
              <w:right w:val="single" w:sz="4" w:space="0" w:color="auto"/>
            </w:tcBorders>
            <w:vAlign w:val="center"/>
          </w:tcPr>
          <w:p w14:paraId="45426587" w14:textId="77777777" w:rsidR="0087223F" w:rsidRPr="00C55B2E" w:rsidRDefault="0087223F" w:rsidP="009546B2">
            <w:pPr>
              <w:ind w:left="360" w:right="284"/>
              <w:rPr>
                <w:color w:val="000000" w:themeColor="text1"/>
                <w:sz w:val="22"/>
                <w:szCs w:val="22"/>
                <w:lang w:eastAsia="en-GB"/>
              </w:rPr>
            </w:pPr>
            <w:r>
              <w:t>Introduction to the module, entrepreneurship mindset, AI in digital business and early idea generation.</w:t>
            </w:r>
          </w:p>
        </w:tc>
      </w:tr>
      <w:tr w:rsidR="0087223F" w14:paraId="4BF3F8CE" w14:textId="77777777" w:rsidTr="00A2264D">
        <w:tc>
          <w:tcPr>
            <w:tcW w:w="988" w:type="dxa"/>
            <w:tcBorders>
              <w:top w:val="single" w:sz="4" w:space="0" w:color="auto"/>
              <w:left w:val="single" w:sz="4" w:space="0" w:color="auto"/>
              <w:bottom w:val="single" w:sz="4" w:space="0" w:color="auto"/>
              <w:right w:val="single" w:sz="4" w:space="0" w:color="auto"/>
            </w:tcBorders>
            <w:vAlign w:val="center"/>
          </w:tcPr>
          <w:p w14:paraId="226F8329" w14:textId="77777777" w:rsidR="0087223F" w:rsidRPr="0095750B" w:rsidRDefault="0087223F" w:rsidP="009546B2">
            <w:pPr>
              <w:rPr>
                <w:lang w:eastAsia="en-IE"/>
              </w:rPr>
            </w:pPr>
            <w:r w:rsidRPr="0095750B">
              <w:rPr>
                <w:lang w:eastAsia="en-IE"/>
              </w:rPr>
              <w:t>2</w:t>
            </w:r>
          </w:p>
        </w:tc>
        <w:tc>
          <w:tcPr>
            <w:tcW w:w="992" w:type="dxa"/>
            <w:vAlign w:val="center"/>
          </w:tcPr>
          <w:p w14:paraId="2B077E48" w14:textId="77777777" w:rsidR="0087223F" w:rsidRDefault="0087223F" w:rsidP="009546B2">
            <w:pPr>
              <w:ind w:right="284"/>
              <w:rPr>
                <w:lang w:val="en-GB"/>
              </w:rPr>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59846772" w14:textId="77777777" w:rsidR="0087223F" w:rsidRDefault="0087223F" w:rsidP="009546B2">
            <w:pPr>
              <w:ind w:right="284"/>
              <w:rPr>
                <w:lang w:val="en-GB"/>
              </w:rPr>
            </w:pPr>
            <w:r>
              <w:t>Idea Evaluation</w:t>
            </w:r>
          </w:p>
        </w:tc>
        <w:tc>
          <w:tcPr>
            <w:tcW w:w="4819" w:type="dxa"/>
            <w:tcBorders>
              <w:top w:val="single" w:sz="4" w:space="0" w:color="auto"/>
              <w:left w:val="single" w:sz="4" w:space="0" w:color="auto"/>
              <w:bottom w:val="single" w:sz="4" w:space="0" w:color="auto"/>
              <w:right w:val="single" w:sz="4" w:space="0" w:color="auto"/>
            </w:tcBorders>
            <w:vAlign w:val="center"/>
          </w:tcPr>
          <w:p w14:paraId="478171B5" w14:textId="77777777" w:rsidR="0087223F" w:rsidRPr="00CE1881" w:rsidRDefault="0087223F" w:rsidP="009546B2">
            <w:pPr>
              <w:ind w:left="360" w:right="284"/>
              <w:rPr>
                <w:sz w:val="22"/>
                <w:szCs w:val="22"/>
                <w:lang w:eastAsia="en-GB"/>
              </w:rPr>
            </w:pPr>
            <w:r>
              <w:t>Evaluating early-stage digital business ideas and identifying stronger opportunities.</w:t>
            </w:r>
          </w:p>
        </w:tc>
      </w:tr>
      <w:tr w:rsidR="0087223F" w14:paraId="6CED98F0" w14:textId="77777777" w:rsidTr="00A2264D">
        <w:tc>
          <w:tcPr>
            <w:tcW w:w="988" w:type="dxa"/>
            <w:tcBorders>
              <w:top w:val="single" w:sz="4" w:space="0" w:color="auto"/>
              <w:left w:val="single" w:sz="4" w:space="0" w:color="auto"/>
              <w:bottom w:val="single" w:sz="4" w:space="0" w:color="auto"/>
              <w:right w:val="single" w:sz="4" w:space="0" w:color="auto"/>
            </w:tcBorders>
            <w:vAlign w:val="center"/>
          </w:tcPr>
          <w:p w14:paraId="699CDEAF" w14:textId="77777777" w:rsidR="0087223F" w:rsidRPr="0095750B" w:rsidRDefault="0087223F" w:rsidP="009546B2">
            <w:pPr>
              <w:rPr>
                <w:lang w:eastAsia="en-IE"/>
              </w:rPr>
            </w:pPr>
            <w:r w:rsidRPr="0095750B">
              <w:rPr>
                <w:lang w:eastAsia="en-IE"/>
              </w:rPr>
              <w:t>3</w:t>
            </w:r>
          </w:p>
        </w:tc>
        <w:tc>
          <w:tcPr>
            <w:tcW w:w="992" w:type="dxa"/>
            <w:vAlign w:val="center"/>
          </w:tcPr>
          <w:p w14:paraId="4217D656" w14:textId="77777777" w:rsidR="0087223F" w:rsidRDefault="0087223F"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27867743" w14:textId="77777777" w:rsidR="0087223F" w:rsidRPr="00C7627F" w:rsidRDefault="0087223F" w:rsidP="009546B2">
            <w:pPr>
              <w:rPr>
                <w:rFonts w:ascii="Arial" w:hAnsi="Arial" w:cs="Arial"/>
                <w:sz w:val="18"/>
                <w:szCs w:val="18"/>
                <w:lang w:eastAsia="en-IE"/>
              </w:rPr>
            </w:pPr>
            <w:r>
              <w:t>AI-Supported Idea Generation and Evaluation</w:t>
            </w:r>
          </w:p>
        </w:tc>
        <w:tc>
          <w:tcPr>
            <w:tcW w:w="4819" w:type="dxa"/>
            <w:tcBorders>
              <w:top w:val="single" w:sz="4" w:space="0" w:color="auto"/>
              <w:left w:val="single" w:sz="4" w:space="0" w:color="auto"/>
              <w:bottom w:val="single" w:sz="4" w:space="0" w:color="auto"/>
              <w:right w:val="single" w:sz="4" w:space="0" w:color="auto"/>
            </w:tcBorders>
            <w:vAlign w:val="center"/>
          </w:tcPr>
          <w:p w14:paraId="6C9A0CE5" w14:textId="77777777" w:rsidR="0087223F" w:rsidRPr="00DB40B2" w:rsidRDefault="0087223F" w:rsidP="009546B2">
            <w:pPr>
              <w:ind w:left="360" w:right="284"/>
              <w:rPr>
                <w:color w:val="000000" w:themeColor="text1"/>
                <w:lang w:eastAsia="en-GB"/>
              </w:rPr>
            </w:pPr>
            <w:r>
              <w:t>Using AI and custom chatbot-style workflows to support idea development and evaluation.</w:t>
            </w:r>
          </w:p>
        </w:tc>
      </w:tr>
      <w:tr w:rsidR="0087223F" w14:paraId="0A28B6E3" w14:textId="77777777" w:rsidTr="00A2264D">
        <w:tc>
          <w:tcPr>
            <w:tcW w:w="988" w:type="dxa"/>
            <w:tcBorders>
              <w:top w:val="single" w:sz="4" w:space="0" w:color="auto"/>
              <w:left w:val="single" w:sz="4" w:space="0" w:color="auto"/>
              <w:bottom w:val="single" w:sz="4" w:space="0" w:color="auto"/>
              <w:right w:val="single" w:sz="4" w:space="0" w:color="auto"/>
            </w:tcBorders>
            <w:vAlign w:val="center"/>
            <w:hideMark/>
          </w:tcPr>
          <w:p w14:paraId="721110D1" w14:textId="77777777" w:rsidR="0087223F" w:rsidRPr="0095750B" w:rsidRDefault="0087223F" w:rsidP="009546B2">
            <w:pPr>
              <w:rPr>
                <w:lang w:eastAsia="en-IE"/>
              </w:rPr>
            </w:pPr>
            <w:r w:rsidRPr="0095750B">
              <w:rPr>
                <w:lang w:eastAsia="en-IE"/>
              </w:rPr>
              <w:t>4</w:t>
            </w:r>
          </w:p>
        </w:tc>
        <w:tc>
          <w:tcPr>
            <w:tcW w:w="992" w:type="dxa"/>
            <w:vAlign w:val="center"/>
          </w:tcPr>
          <w:p w14:paraId="13BF15D8" w14:textId="77777777" w:rsidR="0087223F" w:rsidRDefault="0087223F"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24B5B2F2" w14:textId="77777777" w:rsidR="0087223F" w:rsidRPr="00C7627F" w:rsidRDefault="0087223F" w:rsidP="009546B2">
            <w:pPr>
              <w:rPr>
                <w:rFonts w:ascii="Arial" w:hAnsi="Arial" w:cs="Arial"/>
                <w:sz w:val="18"/>
                <w:szCs w:val="18"/>
                <w:lang w:eastAsia="en-IE"/>
              </w:rPr>
            </w:pPr>
            <w:r>
              <w:t>Lean Canvas and Proto-Persona</w:t>
            </w:r>
          </w:p>
        </w:tc>
        <w:tc>
          <w:tcPr>
            <w:tcW w:w="4819" w:type="dxa"/>
            <w:tcBorders>
              <w:top w:val="single" w:sz="4" w:space="0" w:color="auto"/>
              <w:left w:val="single" w:sz="4" w:space="0" w:color="auto"/>
              <w:bottom w:val="single" w:sz="4" w:space="0" w:color="auto"/>
              <w:right w:val="single" w:sz="4" w:space="0" w:color="auto"/>
            </w:tcBorders>
            <w:vAlign w:val="center"/>
          </w:tcPr>
          <w:p w14:paraId="699EBF95" w14:textId="77777777" w:rsidR="0087223F" w:rsidRPr="00F26116" w:rsidRDefault="0087223F" w:rsidP="009546B2">
            <w:pPr>
              <w:ind w:left="360"/>
              <w:rPr>
                <w:rFonts w:ascii="Arial" w:hAnsi="Arial" w:cs="Arial"/>
                <w:bCs/>
                <w:lang w:eastAsia="en-IE"/>
              </w:rPr>
            </w:pPr>
            <w:r>
              <w:t>Developing early business assumptions, customer assumptions and value propositions.</w:t>
            </w:r>
          </w:p>
        </w:tc>
      </w:tr>
      <w:tr w:rsidR="0087223F" w14:paraId="2A108942" w14:textId="77777777" w:rsidTr="00A2264D">
        <w:tc>
          <w:tcPr>
            <w:tcW w:w="988" w:type="dxa"/>
            <w:tcBorders>
              <w:top w:val="single" w:sz="4" w:space="0" w:color="auto"/>
              <w:left w:val="single" w:sz="4" w:space="0" w:color="auto"/>
              <w:bottom w:val="single" w:sz="4" w:space="0" w:color="auto"/>
              <w:right w:val="single" w:sz="4" w:space="0" w:color="auto"/>
            </w:tcBorders>
            <w:vAlign w:val="center"/>
          </w:tcPr>
          <w:p w14:paraId="56FCCA53" w14:textId="77777777" w:rsidR="0087223F" w:rsidRPr="0095750B" w:rsidRDefault="0087223F" w:rsidP="009546B2">
            <w:pPr>
              <w:rPr>
                <w:lang w:eastAsia="en-IE"/>
              </w:rPr>
            </w:pPr>
            <w:r w:rsidRPr="0095750B">
              <w:rPr>
                <w:lang w:eastAsia="en-IE"/>
              </w:rPr>
              <w:t>5</w:t>
            </w:r>
          </w:p>
        </w:tc>
        <w:tc>
          <w:tcPr>
            <w:tcW w:w="992" w:type="dxa"/>
            <w:vAlign w:val="center"/>
          </w:tcPr>
          <w:p w14:paraId="3AEAC445" w14:textId="77777777" w:rsidR="0087223F" w:rsidRDefault="0087223F"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5B78570B" w14:textId="77777777" w:rsidR="0087223F" w:rsidRDefault="0087223F" w:rsidP="009546B2">
            <w:pPr>
              <w:ind w:right="284"/>
            </w:pPr>
            <w:r>
              <w:t>Competitor and Market Analysis</w:t>
            </w:r>
          </w:p>
        </w:tc>
        <w:tc>
          <w:tcPr>
            <w:tcW w:w="4819" w:type="dxa"/>
            <w:tcBorders>
              <w:top w:val="single" w:sz="4" w:space="0" w:color="auto"/>
              <w:left w:val="single" w:sz="4" w:space="0" w:color="auto"/>
              <w:bottom w:val="single" w:sz="4" w:space="0" w:color="auto"/>
              <w:right w:val="single" w:sz="4" w:space="0" w:color="auto"/>
            </w:tcBorders>
            <w:vAlign w:val="center"/>
          </w:tcPr>
          <w:p w14:paraId="32B021E1" w14:textId="77777777" w:rsidR="0087223F" w:rsidRPr="00F26116" w:rsidRDefault="0087223F" w:rsidP="009546B2">
            <w:pPr>
              <w:ind w:left="360" w:right="284"/>
              <w:rPr>
                <w:sz w:val="22"/>
                <w:szCs w:val="22"/>
                <w:lang w:eastAsia="en-GB"/>
              </w:rPr>
            </w:pPr>
            <w:r>
              <w:t>Analysing competitors, substitutes, market signals and evidence of demand.</w:t>
            </w:r>
          </w:p>
        </w:tc>
      </w:tr>
      <w:tr w:rsidR="0087223F" w14:paraId="5FA015A9" w14:textId="77777777" w:rsidTr="00A2264D">
        <w:tc>
          <w:tcPr>
            <w:tcW w:w="988" w:type="dxa"/>
            <w:tcBorders>
              <w:top w:val="single" w:sz="4" w:space="0" w:color="auto"/>
              <w:left w:val="single" w:sz="4" w:space="0" w:color="auto"/>
              <w:bottom w:val="single" w:sz="4" w:space="0" w:color="auto"/>
              <w:right w:val="single" w:sz="4" w:space="0" w:color="auto"/>
            </w:tcBorders>
            <w:vAlign w:val="center"/>
          </w:tcPr>
          <w:p w14:paraId="576E7E9E" w14:textId="77777777" w:rsidR="0087223F" w:rsidRPr="0095750B" w:rsidRDefault="0087223F" w:rsidP="009546B2">
            <w:pPr>
              <w:rPr>
                <w:lang w:eastAsia="en-IE"/>
              </w:rPr>
            </w:pPr>
            <w:r w:rsidRPr="0095750B">
              <w:rPr>
                <w:lang w:eastAsia="en-IE"/>
              </w:rPr>
              <w:t>6</w:t>
            </w:r>
          </w:p>
        </w:tc>
        <w:tc>
          <w:tcPr>
            <w:tcW w:w="992" w:type="dxa"/>
            <w:vAlign w:val="center"/>
          </w:tcPr>
          <w:p w14:paraId="44FC64D7" w14:textId="77777777" w:rsidR="0087223F" w:rsidRDefault="0087223F"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21B56619" w14:textId="77777777" w:rsidR="0087223F" w:rsidRPr="00C7627F" w:rsidRDefault="0087223F" w:rsidP="009546B2">
            <w:pPr>
              <w:rPr>
                <w:rFonts w:ascii="Arial" w:hAnsi="Arial" w:cs="Arial"/>
                <w:sz w:val="18"/>
                <w:szCs w:val="18"/>
                <w:lang w:eastAsia="en-IE"/>
              </w:rPr>
            </w:pPr>
            <w:r>
              <w:t>Consumer Analysis, Proof and Experiments</w:t>
            </w:r>
          </w:p>
        </w:tc>
        <w:tc>
          <w:tcPr>
            <w:tcW w:w="4819" w:type="dxa"/>
            <w:tcBorders>
              <w:top w:val="single" w:sz="4" w:space="0" w:color="auto"/>
              <w:left w:val="single" w:sz="4" w:space="0" w:color="auto"/>
              <w:bottom w:val="single" w:sz="4" w:space="0" w:color="auto"/>
              <w:right w:val="single" w:sz="4" w:space="0" w:color="auto"/>
            </w:tcBorders>
            <w:vAlign w:val="center"/>
          </w:tcPr>
          <w:p w14:paraId="471A8654" w14:textId="77777777" w:rsidR="0087223F" w:rsidRPr="006676A2" w:rsidRDefault="0087223F" w:rsidP="009546B2">
            <w:pPr>
              <w:ind w:left="360" w:right="284"/>
              <w:rPr>
                <w:bCs/>
                <w:iCs/>
                <w:color w:val="000000" w:themeColor="text1"/>
                <w:lang w:eastAsia="en-GB"/>
              </w:rPr>
            </w:pPr>
            <w:r>
              <w:t xml:space="preserve">Customer discovery, interview evidence, </w:t>
            </w:r>
            <w:proofErr w:type="spellStart"/>
            <w:r>
              <w:t>pretotyping</w:t>
            </w:r>
            <w:proofErr w:type="spellEnd"/>
            <w:r>
              <w:t xml:space="preserve"> and early validation.</w:t>
            </w:r>
          </w:p>
        </w:tc>
      </w:tr>
      <w:tr w:rsidR="0087223F" w14:paraId="15F29602" w14:textId="77777777" w:rsidTr="00A2264D">
        <w:tc>
          <w:tcPr>
            <w:tcW w:w="9351" w:type="dxa"/>
            <w:gridSpan w:val="4"/>
            <w:tcBorders>
              <w:right w:val="single" w:sz="4" w:space="0" w:color="auto"/>
            </w:tcBorders>
          </w:tcPr>
          <w:p w14:paraId="1B6BE9BC" w14:textId="77777777" w:rsidR="0087223F" w:rsidRPr="00F26116" w:rsidRDefault="0087223F" w:rsidP="009546B2">
            <w:pPr>
              <w:ind w:left="360"/>
              <w:rPr>
                <w:b/>
                <w:bCs/>
                <w:lang w:eastAsia="en-IE"/>
              </w:rPr>
            </w:pPr>
            <w:r w:rsidRPr="00F26116">
              <w:rPr>
                <w:b/>
                <w:bCs/>
              </w:rPr>
              <w:t>Reading Week</w:t>
            </w:r>
          </w:p>
        </w:tc>
      </w:tr>
      <w:tr w:rsidR="009546B2" w14:paraId="58D664CA" w14:textId="77777777" w:rsidTr="00A2264D">
        <w:tc>
          <w:tcPr>
            <w:tcW w:w="988" w:type="dxa"/>
            <w:tcBorders>
              <w:top w:val="single" w:sz="4" w:space="0" w:color="auto"/>
              <w:left w:val="single" w:sz="4" w:space="0" w:color="auto"/>
              <w:bottom w:val="single" w:sz="4" w:space="0" w:color="auto"/>
              <w:right w:val="single" w:sz="4" w:space="0" w:color="auto"/>
            </w:tcBorders>
          </w:tcPr>
          <w:p w14:paraId="167193DC" w14:textId="77777777" w:rsidR="009546B2" w:rsidRPr="00A54348" w:rsidRDefault="00A54348" w:rsidP="009546B2">
            <w:pPr>
              <w:rPr>
                <w:rFonts w:eastAsiaTheme="minorEastAsia"/>
                <w:lang w:eastAsia="ko-KR"/>
              </w:rPr>
            </w:pPr>
            <w:r>
              <w:rPr>
                <w:rFonts w:eastAsiaTheme="minorEastAsia" w:hint="eastAsia"/>
                <w:lang w:eastAsia="ko-KR"/>
              </w:rPr>
              <w:t>7</w:t>
            </w:r>
          </w:p>
        </w:tc>
        <w:tc>
          <w:tcPr>
            <w:tcW w:w="992" w:type="dxa"/>
            <w:vAlign w:val="center"/>
          </w:tcPr>
          <w:p w14:paraId="1E421D31" w14:textId="77777777" w:rsidR="009546B2" w:rsidRPr="00993010" w:rsidRDefault="009546B2" w:rsidP="009546B2">
            <w:pPr>
              <w:rPr>
                <w:sz w:val="22"/>
                <w:szCs w:val="22"/>
              </w:rPr>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6966921A" w14:textId="77777777" w:rsidR="009546B2" w:rsidRPr="00993010" w:rsidRDefault="009546B2" w:rsidP="009546B2">
            <w:pPr>
              <w:rPr>
                <w:sz w:val="22"/>
                <w:szCs w:val="22"/>
              </w:rPr>
            </w:pPr>
            <w:r>
              <w:t>AI Image Generation</w:t>
            </w:r>
          </w:p>
        </w:tc>
        <w:tc>
          <w:tcPr>
            <w:tcW w:w="4819" w:type="dxa"/>
            <w:tcBorders>
              <w:top w:val="single" w:sz="4" w:space="0" w:color="auto"/>
              <w:left w:val="single" w:sz="4" w:space="0" w:color="auto"/>
              <w:bottom w:val="single" w:sz="4" w:space="0" w:color="auto"/>
              <w:right w:val="single" w:sz="4" w:space="0" w:color="auto"/>
            </w:tcBorders>
            <w:vAlign w:val="center"/>
          </w:tcPr>
          <w:p w14:paraId="1EFFDD38" w14:textId="77777777" w:rsidR="009546B2" w:rsidRPr="00F26116" w:rsidRDefault="009546B2" w:rsidP="009546B2">
            <w:pPr>
              <w:ind w:left="360" w:right="284"/>
              <w:rPr>
                <w:sz w:val="22"/>
                <w:szCs w:val="22"/>
                <w:lang w:eastAsia="en-GB"/>
              </w:rPr>
            </w:pPr>
            <w:r>
              <w:t>Using AI-generated images to support brand, product and campaign concept development.</w:t>
            </w:r>
          </w:p>
        </w:tc>
      </w:tr>
      <w:tr w:rsidR="009546B2" w14:paraId="28D5A976" w14:textId="77777777" w:rsidTr="00A2264D">
        <w:tc>
          <w:tcPr>
            <w:tcW w:w="988" w:type="dxa"/>
            <w:tcBorders>
              <w:top w:val="single" w:sz="4" w:space="0" w:color="auto"/>
              <w:left w:val="single" w:sz="4" w:space="0" w:color="auto"/>
              <w:bottom w:val="single" w:sz="4" w:space="0" w:color="auto"/>
              <w:right w:val="single" w:sz="4" w:space="0" w:color="auto"/>
            </w:tcBorders>
          </w:tcPr>
          <w:p w14:paraId="33E5831C" w14:textId="77777777" w:rsidR="009546B2" w:rsidRPr="00A54348" w:rsidRDefault="00A54348" w:rsidP="009546B2">
            <w:pPr>
              <w:rPr>
                <w:rFonts w:eastAsiaTheme="minorEastAsia"/>
                <w:lang w:eastAsia="ko-KR"/>
              </w:rPr>
            </w:pPr>
            <w:r>
              <w:rPr>
                <w:rFonts w:eastAsiaTheme="minorEastAsia" w:hint="eastAsia"/>
                <w:lang w:eastAsia="ko-KR"/>
              </w:rPr>
              <w:t>8</w:t>
            </w:r>
          </w:p>
        </w:tc>
        <w:tc>
          <w:tcPr>
            <w:tcW w:w="992" w:type="dxa"/>
            <w:vAlign w:val="center"/>
          </w:tcPr>
          <w:p w14:paraId="06E387F7" w14:textId="77777777" w:rsidR="009546B2" w:rsidRDefault="009546B2"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61E3CA72" w14:textId="77777777" w:rsidR="009546B2" w:rsidRDefault="009546B2" w:rsidP="009546B2">
            <w:pPr>
              <w:ind w:right="284"/>
            </w:pPr>
            <w:r>
              <w:t>AI Video Generation</w:t>
            </w:r>
          </w:p>
        </w:tc>
        <w:tc>
          <w:tcPr>
            <w:tcW w:w="4819" w:type="dxa"/>
            <w:tcBorders>
              <w:top w:val="single" w:sz="4" w:space="0" w:color="auto"/>
              <w:left w:val="single" w:sz="4" w:space="0" w:color="auto"/>
              <w:bottom w:val="single" w:sz="4" w:space="0" w:color="auto"/>
              <w:right w:val="single" w:sz="4" w:space="0" w:color="auto"/>
            </w:tcBorders>
            <w:vAlign w:val="center"/>
          </w:tcPr>
          <w:p w14:paraId="7ADA6EB2" w14:textId="77777777" w:rsidR="009546B2" w:rsidRPr="00436A4E" w:rsidRDefault="009546B2" w:rsidP="009546B2">
            <w:pPr>
              <w:ind w:left="360" w:right="284"/>
              <w:rPr>
                <w:lang w:eastAsia="en-GB"/>
              </w:rPr>
            </w:pPr>
            <w:r>
              <w:t>Using AI video tools for storytelling, campaign concepts and pre-launch communication.</w:t>
            </w:r>
          </w:p>
        </w:tc>
      </w:tr>
      <w:tr w:rsidR="009546B2" w14:paraId="096A9BAB" w14:textId="77777777" w:rsidTr="00A2264D">
        <w:tc>
          <w:tcPr>
            <w:tcW w:w="988" w:type="dxa"/>
            <w:tcBorders>
              <w:top w:val="single" w:sz="4" w:space="0" w:color="auto"/>
              <w:left w:val="single" w:sz="4" w:space="0" w:color="auto"/>
              <w:bottom w:val="single" w:sz="4" w:space="0" w:color="auto"/>
              <w:right w:val="single" w:sz="4" w:space="0" w:color="auto"/>
            </w:tcBorders>
          </w:tcPr>
          <w:p w14:paraId="27D2E504" w14:textId="77777777" w:rsidR="009546B2" w:rsidRPr="00A54348" w:rsidRDefault="00A54348" w:rsidP="009546B2">
            <w:pPr>
              <w:rPr>
                <w:rFonts w:eastAsiaTheme="minorEastAsia"/>
                <w:lang w:eastAsia="ko-KR"/>
              </w:rPr>
            </w:pPr>
            <w:r>
              <w:rPr>
                <w:rFonts w:eastAsiaTheme="minorEastAsia" w:hint="eastAsia"/>
                <w:lang w:eastAsia="ko-KR"/>
              </w:rPr>
              <w:t>9</w:t>
            </w:r>
          </w:p>
        </w:tc>
        <w:tc>
          <w:tcPr>
            <w:tcW w:w="992" w:type="dxa"/>
            <w:vAlign w:val="center"/>
          </w:tcPr>
          <w:p w14:paraId="60A8996D" w14:textId="77777777" w:rsidR="009546B2" w:rsidRDefault="009546B2"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3F12D5AC" w14:textId="77777777" w:rsidR="009546B2" w:rsidRDefault="009546B2" w:rsidP="009546B2">
            <w:pPr>
              <w:ind w:right="284"/>
            </w:pPr>
            <w:r>
              <w:t>Digital Channel Prototype 1</w:t>
            </w:r>
          </w:p>
        </w:tc>
        <w:tc>
          <w:tcPr>
            <w:tcW w:w="4819" w:type="dxa"/>
            <w:tcBorders>
              <w:top w:val="single" w:sz="4" w:space="0" w:color="auto"/>
              <w:left w:val="single" w:sz="4" w:space="0" w:color="auto"/>
              <w:bottom w:val="single" w:sz="4" w:space="0" w:color="auto"/>
              <w:right w:val="single" w:sz="4" w:space="0" w:color="auto"/>
            </w:tcBorders>
            <w:vAlign w:val="center"/>
          </w:tcPr>
          <w:p w14:paraId="509BF09D" w14:textId="77777777" w:rsidR="009546B2" w:rsidRDefault="009546B2" w:rsidP="009546B2">
            <w:pPr>
              <w:ind w:left="360" w:right="284"/>
            </w:pPr>
            <w:r>
              <w:t>Developing early digital channel materials such as landing pages, social posts and campaign messages.</w:t>
            </w:r>
          </w:p>
        </w:tc>
      </w:tr>
      <w:tr w:rsidR="009546B2" w14:paraId="692E36E8" w14:textId="77777777" w:rsidTr="00A2264D">
        <w:tc>
          <w:tcPr>
            <w:tcW w:w="988" w:type="dxa"/>
            <w:tcBorders>
              <w:top w:val="single" w:sz="4" w:space="0" w:color="auto"/>
              <w:left w:val="single" w:sz="4" w:space="0" w:color="auto"/>
              <w:bottom w:val="single" w:sz="4" w:space="0" w:color="auto"/>
              <w:right w:val="single" w:sz="4" w:space="0" w:color="auto"/>
            </w:tcBorders>
          </w:tcPr>
          <w:p w14:paraId="59E2A06C" w14:textId="77777777" w:rsidR="009546B2" w:rsidRPr="00A54348" w:rsidRDefault="009546B2" w:rsidP="009546B2">
            <w:pPr>
              <w:rPr>
                <w:rFonts w:eastAsiaTheme="minorEastAsia"/>
                <w:lang w:eastAsia="ko-KR"/>
              </w:rPr>
            </w:pPr>
            <w:r w:rsidRPr="0095750B">
              <w:rPr>
                <w:lang w:eastAsia="en-IE"/>
              </w:rPr>
              <w:t>1</w:t>
            </w:r>
            <w:r w:rsidR="00A54348">
              <w:rPr>
                <w:rFonts w:eastAsiaTheme="minorEastAsia" w:hint="eastAsia"/>
                <w:lang w:eastAsia="ko-KR"/>
              </w:rPr>
              <w:t>0</w:t>
            </w:r>
          </w:p>
        </w:tc>
        <w:tc>
          <w:tcPr>
            <w:tcW w:w="992" w:type="dxa"/>
            <w:vAlign w:val="center"/>
          </w:tcPr>
          <w:p w14:paraId="66313D01" w14:textId="77777777" w:rsidR="009546B2" w:rsidRDefault="009546B2"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09FE2D2D" w14:textId="77777777" w:rsidR="009546B2" w:rsidRDefault="009546B2" w:rsidP="009546B2">
            <w:pPr>
              <w:ind w:right="284"/>
            </w:pPr>
            <w:r>
              <w:t>Digital Channel Prototype 2</w:t>
            </w:r>
          </w:p>
        </w:tc>
        <w:tc>
          <w:tcPr>
            <w:tcW w:w="4819" w:type="dxa"/>
            <w:tcBorders>
              <w:top w:val="single" w:sz="4" w:space="0" w:color="auto"/>
              <w:left w:val="single" w:sz="4" w:space="0" w:color="auto"/>
              <w:bottom w:val="single" w:sz="4" w:space="0" w:color="auto"/>
              <w:right w:val="single" w:sz="4" w:space="0" w:color="auto"/>
            </w:tcBorders>
            <w:vAlign w:val="center"/>
          </w:tcPr>
          <w:p w14:paraId="7717DAB5" w14:textId="77777777" w:rsidR="009546B2" w:rsidRDefault="009546B2" w:rsidP="009546B2">
            <w:pPr>
              <w:ind w:left="360" w:right="284"/>
              <w:rPr>
                <w:lang w:eastAsia="en-GB"/>
              </w:rPr>
            </w:pPr>
            <w:r>
              <w:t>Refining and integrating digital channel materials into a more coherent pre-launch package.</w:t>
            </w:r>
          </w:p>
        </w:tc>
      </w:tr>
      <w:tr w:rsidR="009546B2" w14:paraId="20011656" w14:textId="77777777" w:rsidTr="00A2264D">
        <w:tc>
          <w:tcPr>
            <w:tcW w:w="988" w:type="dxa"/>
            <w:tcBorders>
              <w:top w:val="single" w:sz="4" w:space="0" w:color="auto"/>
              <w:left w:val="single" w:sz="4" w:space="0" w:color="auto"/>
              <w:bottom w:val="single" w:sz="4" w:space="0" w:color="auto"/>
              <w:right w:val="single" w:sz="4" w:space="0" w:color="auto"/>
            </w:tcBorders>
          </w:tcPr>
          <w:p w14:paraId="2CFD4484" w14:textId="77777777" w:rsidR="009546B2" w:rsidRPr="00A54348" w:rsidRDefault="009546B2" w:rsidP="009546B2">
            <w:pPr>
              <w:rPr>
                <w:rFonts w:eastAsiaTheme="minorEastAsia"/>
                <w:lang w:eastAsia="ko-KR"/>
              </w:rPr>
            </w:pPr>
            <w:r w:rsidRPr="0095750B">
              <w:rPr>
                <w:lang w:eastAsia="en-IE"/>
              </w:rPr>
              <w:t>1</w:t>
            </w:r>
            <w:r w:rsidR="00A54348">
              <w:rPr>
                <w:rFonts w:eastAsiaTheme="minorEastAsia" w:hint="eastAsia"/>
                <w:lang w:eastAsia="ko-KR"/>
              </w:rPr>
              <w:t>1</w:t>
            </w:r>
          </w:p>
        </w:tc>
        <w:tc>
          <w:tcPr>
            <w:tcW w:w="992" w:type="dxa"/>
            <w:vAlign w:val="center"/>
          </w:tcPr>
          <w:p w14:paraId="0B3A3474" w14:textId="77777777" w:rsidR="009546B2" w:rsidRDefault="009546B2" w:rsidP="009546B2">
            <w:pPr>
              <w:ind w:right="284"/>
            </w:pPr>
            <w:r>
              <w:t>TBC</w:t>
            </w:r>
          </w:p>
        </w:tc>
        <w:tc>
          <w:tcPr>
            <w:tcW w:w="2552" w:type="dxa"/>
            <w:tcBorders>
              <w:top w:val="single" w:sz="4" w:space="0" w:color="auto"/>
              <w:left w:val="single" w:sz="4" w:space="0" w:color="auto"/>
              <w:bottom w:val="single" w:sz="4" w:space="0" w:color="auto"/>
              <w:right w:val="single" w:sz="4" w:space="0" w:color="auto"/>
            </w:tcBorders>
            <w:vAlign w:val="center"/>
          </w:tcPr>
          <w:p w14:paraId="52FAF7F8" w14:textId="77777777" w:rsidR="009546B2" w:rsidRDefault="009546B2" w:rsidP="009546B2">
            <w:pPr>
              <w:ind w:right="284"/>
            </w:pPr>
            <w:r>
              <w:t>Final Presentation / Project Studio</w:t>
            </w:r>
          </w:p>
        </w:tc>
        <w:tc>
          <w:tcPr>
            <w:tcW w:w="4819" w:type="dxa"/>
            <w:tcBorders>
              <w:top w:val="single" w:sz="4" w:space="0" w:color="auto"/>
              <w:left w:val="single" w:sz="4" w:space="0" w:color="auto"/>
              <w:bottom w:val="single" w:sz="4" w:space="0" w:color="auto"/>
              <w:right w:val="single" w:sz="4" w:space="0" w:color="auto"/>
            </w:tcBorders>
            <w:vAlign w:val="center"/>
          </w:tcPr>
          <w:p w14:paraId="0107B6EB" w14:textId="77777777" w:rsidR="009546B2" w:rsidRDefault="009546B2" w:rsidP="009546B2">
            <w:pPr>
              <w:ind w:left="360" w:right="284"/>
            </w:pPr>
            <w:r>
              <w:t>Project presentation, peer discussion, feedback and module wrap-up.</w:t>
            </w:r>
          </w:p>
        </w:tc>
      </w:tr>
    </w:tbl>
    <w:p w14:paraId="64C2A739" w14:textId="77777777" w:rsidR="00A2264D" w:rsidRDefault="00A2264D" w:rsidP="00A2264D">
      <w:pPr>
        <w:rPr>
          <w:rFonts w:eastAsiaTheme="minorEastAsia"/>
          <w:lang w:eastAsia="ko-KR"/>
        </w:rPr>
      </w:pPr>
    </w:p>
    <w:p w14:paraId="365CEBBC" w14:textId="77777777" w:rsidR="0055255C" w:rsidRDefault="0055255C" w:rsidP="00A2264D">
      <w:pPr>
        <w:pStyle w:val="BodyText2"/>
        <w:jc w:val="both"/>
        <w:rPr>
          <w:rFonts w:ascii="Arial" w:eastAsiaTheme="minorEastAsia" w:hAnsi="Arial" w:cs="Arial"/>
          <w:b/>
          <w:i w:val="0"/>
          <w:iCs w:val="0"/>
          <w:sz w:val="24"/>
          <w:lang w:eastAsia="ko-KR"/>
        </w:rPr>
      </w:pPr>
    </w:p>
    <w:p w14:paraId="1A963414" w14:textId="31521E30" w:rsidR="00A2264D" w:rsidRDefault="00A2264D" w:rsidP="00A2264D">
      <w:pPr>
        <w:pStyle w:val="BodyText2"/>
        <w:jc w:val="both"/>
        <w:rPr>
          <w:rFonts w:ascii="Arial" w:hAnsi="Arial" w:cs="Arial"/>
          <w:b/>
          <w:i w:val="0"/>
          <w:iCs w:val="0"/>
          <w:sz w:val="24"/>
        </w:rPr>
      </w:pPr>
      <w:r>
        <w:rPr>
          <w:rFonts w:ascii="Arial" w:hAnsi="Arial" w:cs="Arial"/>
          <w:b/>
          <w:i w:val="0"/>
          <w:iCs w:val="0"/>
          <w:sz w:val="24"/>
        </w:rPr>
        <w:t>A</w:t>
      </w:r>
      <w:r w:rsidRPr="00A2264D">
        <w:rPr>
          <w:rFonts w:ascii="Arial" w:hAnsi="Arial" w:cs="Arial"/>
          <w:b/>
          <w:i w:val="0"/>
          <w:iCs w:val="0"/>
          <w:sz w:val="24"/>
        </w:rPr>
        <w:t>DDITIONAL NOTE</w:t>
      </w:r>
    </w:p>
    <w:p w14:paraId="0F589087" w14:textId="77777777" w:rsidR="00C175CC" w:rsidRDefault="00A2264D" w:rsidP="00C175CC">
      <w:pPr>
        <w:rPr>
          <w:rFonts w:eastAsiaTheme="minorEastAsia"/>
          <w:lang w:eastAsia="ko-KR"/>
        </w:rPr>
      </w:pPr>
      <w:r w:rsidRPr="00A2264D">
        <w:rPr>
          <w:lang w:eastAsia="en-IE"/>
        </w:rPr>
        <w:t>Students are not required to purchase paid AI tools. However, because this module involves practical engagement with AI tools and digital entrepreneurship methods, access to paid or premium versions of some tools may provide additional functionality, speed, quality or convenience. Assessment will focus on entrepreneurial judgement, responsible AI use, critical evaluation, evidence of process, customer and market reasoning, and the ability to explain and justify decisions, rather than access to any specific paid platform.</w:t>
      </w:r>
    </w:p>
    <w:p w14:paraId="77D10D11" w14:textId="77777777" w:rsidR="0055255C" w:rsidRDefault="0055255C" w:rsidP="00C175CC">
      <w:pPr>
        <w:rPr>
          <w:rFonts w:eastAsiaTheme="minorEastAsia"/>
          <w:lang w:eastAsia="ko-KR"/>
        </w:rPr>
      </w:pPr>
    </w:p>
    <w:p w14:paraId="58402ED9" w14:textId="77777777" w:rsidR="0055255C" w:rsidRPr="0055255C" w:rsidRDefault="0055255C" w:rsidP="00C175CC">
      <w:pPr>
        <w:rPr>
          <w:rFonts w:eastAsiaTheme="minorEastAsia" w:hint="eastAsia"/>
          <w:lang w:eastAsia="ko-KR"/>
        </w:rPr>
      </w:pPr>
    </w:p>
    <w:p w14:paraId="53AD336E" w14:textId="77777777" w:rsidR="00C74266" w:rsidRPr="00C74266" w:rsidRDefault="00C74266" w:rsidP="00C175CC">
      <w:pPr>
        <w:rPr>
          <w:rFonts w:eastAsiaTheme="minorEastAsia"/>
          <w:lang w:eastAsia="ko-KR"/>
        </w:rPr>
      </w:pPr>
    </w:p>
    <w:p w14:paraId="369AD921" w14:textId="77777777" w:rsidR="00746FBD" w:rsidRPr="009F7359" w:rsidRDefault="00746FBD" w:rsidP="00746FBD">
      <w:pPr>
        <w:pStyle w:val="BodyText2"/>
        <w:jc w:val="both"/>
        <w:rPr>
          <w:rFonts w:ascii="Arial" w:hAnsi="Arial" w:cs="Arial"/>
          <w:b/>
          <w:i w:val="0"/>
          <w:iCs w:val="0"/>
          <w:sz w:val="24"/>
        </w:rPr>
      </w:pPr>
      <w:r w:rsidRPr="009F7359">
        <w:rPr>
          <w:rFonts w:ascii="Arial" w:hAnsi="Arial" w:cs="Arial"/>
          <w:b/>
          <w:i w:val="0"/>
          <w:iCs w:val="0"/>
          <w:sz w:val="24"/>
        </w:rPr>
        <w:t xml:space="preserve">Biographical Note: </w:t>
      </w:r>
    </w:p>
    <w:p w14:paraId="6D889C7B" w14:textId="77777777" w:rsidR="006C1F40" w:rsidRPr="009F7359" w:rsidRDefault="00746FBD" w:rsidP="009F7359">
      <w:pPr>
        <w:rPr>
          <w:rFonts w:eastAsiaTheme="minorEastAsia"/>
          <w:lang w:eastAsia="ko-KR"/>
        </w:rPr>
      </w:pPr>
      <w:r w:rsidRPr="00746FBD">
        <w:t xml:space="preserve">Ilyung Cheong is an Assistant Professor in Digital Marketing &amp; AI at Trinity Business School, Trinity College Dublin. His research uses behavioural science to examine AI technologies, consumer decision-making, responsible AI use, consumer wellbeing and AI for Social Good. He holds a PhD in Marketing from KAIST. Further information is available at: </w:t>
      </w:r>
      <w:hyperlink r:id="rId11" w:history="1">
        <w:r w:rsidR="002C53E6" w:rsidRPr="002C53E6">
          <w:rPr>
            <w:rStyle w:val="Hyperlink"/>
          </w:rPr>
          <w:t>https://sites.google.com/view/ilyungcheong/home/</w:t>
        </w:r>
      </w:hyperlink>
    </w:p>
    <w:sectPr w:rsidR="006C1F40" w:rsidRPr="009F7359" w:rsidSect="00586962">
      <w:headerReference w:type="even"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1115" w14:textId="77777777" w:rsidR="00FC0376" w:rsidRDefault="00FC0376" w:rsidP="006D6D3A">
      <w:r>
        <w:separator/>
      </w:r>
    </w:p>
  </w:endnote>
  <w:endnote w:type="continuationSeparator" w:id="0">
    <w:p w14:paraId="61189DA4" w14:textId="77777777" w:rsidR="00FC0376" w:rsidRDefault="00FC0376"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D8EF" w14:textId="77777777" w:rsidR="00FC0376" w:rsidRDefault="00FC0376" w:rsidP="006D6D3A">
      <w:r>
        <w:separator/>
      </w:r>
    </w:p>
  </w:footnote>
  <w:footnote w:type="continuationSeparator" w:id="0">
    <w:p w14:paraId="043E3397" w14:textId="77777777" w:rsidR="00FC0376" w:rsidRDefault="00FC0376"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5ACF" w14:textId="77777777"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83FE" w14:textId="77777777"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6"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6"/>
  </w:num>
  <w:num w:numId="2" w16cid:durableId="1145004103">
    <w:abstractNumId w:val="13"/>
  </w:num>
  <w:num w:numId="3" w16cid:durableId="55794040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8"/>
  </w:num>
  <w:num w:numId="5" w16cid:durableId="1408696399">
    <w:abstractNumId w:val="4"/>
  </w:num>
  <w:num w:numId="6" w16cid:durableId="1012876674">
    <w:abstractNumId w:val="27"/>
  </w:num>
  <w:num w:numId="7" w16cid:durableId="1688411081">
    <w:abstractNumId w:val="32"/>
  </w:num>
  <w:num w:numId="8" w16cid:durableId="497573582">
    <w:abstractNumId w:val="29"/>
  </w:num>
  <w:num w:numId="9" w16cid:durableId="27344721">
    <w:abstractNumId w:val="9"/>
  </w:num>
  <w:num w:numId="10" w16cid:durableId="303655603">
    <w:abstractNumId w:val="15"/>
  </w:num>
  <w:num w:numId="11" w16cid:durableId="235097612">
    <w:abstractNumId w:val="30"/>
  </w:num>
  <w:num w:numId="12" w16cid:durableId="1483883650">
    <w:abstractNumId w:val="19"/>
  </w:num>
  <w:num w:numId="13" w16cid:durableId="773135965">
    <w:abstractNumId w:val="3"/>
  </w:num>
  <w:num w:numId="14" w16cid:durableId="711731849">
    <w:abstractNumId w:val="23"/>
  </w:num>
  <w:num w:numId="15" w16cid:durableId="400753147">
    <w:abstractNumId w:val="16"/>
  </w:num>
  <w:num w:numId="16" w16cid:durableId="1741362677">
    <w:abstractNumId w:val="21"/>
  </w:num>
  <w:num w:numId="17" w16cid:durableId="1200315553">
    <w:abstractNumId w:val="0"/>
  </w:num>
  <w:num w:numId="18" w16cid:durableId="244874597">
    <w:abstractNumId w:val="10"/>
  </w:num>
  <w:num w:numId="19" w16cid:durableId="1135103131">
    <w:abstractNumId w:val="1"/>
  </w:num>
  <w:num w:numId="20" w16cid:durableId="620500926">
    <w:abstractNumId w:val="25"/>
  </w:num>
  <w:num w:numId="21" w16cid:durableId="2094204003">
    <w:abstractNumId w:val="7"/>
  </w:num>
  <w:num w:numId="22" w16cid:durableId="337275868">
    <w:abstractNumId w:val="18"/>
  </w:num>
  <w:num w:numId="23" w16cid:durableId="1640376947">
    <w:abstractNumId w:val="12"/>
  </w:num>
  <w:num w:numId="24" w16cid:durableId="99643470">
    <w:abstractNumId w:val="11"/>
  </w:num>
  <w:num w:numId="25" w16cid:durableId="1990746825">
    <w:abstractNumId w:val="17"/>
  </w:num>
  <w:num w:numId="26" w16cid:durableId="742407337">
    <w:abstractNumId w:val="8"/>
  </w:num>
  <w:num w:numId="27" w16cid:durableId="2119712956">
    <w:abstractNumId w:val="26"/>
  </w:num>
  <w:num w:numId="28" w16cid:durableId="602539607">
    <w:abstractNumId w:val="22"/>
  </w:num>
  <w:num w:numId="29" w16cid:durableId="1376543607">
    <w:abstractNumId w:val="5"/>
  </w:num>
  <w:num w:numId="30" w16cid:durableId="1075473941">
    <w:abstractNumId w:val="31"/>
  </w:num>
  <w:num w:numId="31" w16cid:durableId="574705677">
    <w:abstractNumId w:val="14"/>
  </w:num>
  <w:num w:numId="32" w16cid:durableId="1245992402">
    <w:abstractNumId w:val="2"/>
  </w:num>
  <w:num w:numId="33" w16cid:durableId="12936326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4818"/>
    <w:rsid w:val="00041E25"/>
    <w:rsid w:val="0004502D"/>
    <w:rsid w:val="00045409"/>
    <w:rsid w:val="00053A9E"/>
    <w:rsid w:val="0006463E"/>
    <w:rsid w:val="00073312"/>
    <w:rsid w:val="0008514B"/>
    <w:rsid w:val="0008679C"/>
    <w:rsid w:val="00090B67"/>
    <w:rsid w:val="000924CD"/>
    <w:rsid w:val="000A2C1D"/>
    <w:rsid w:val="000E497A"/>
    <w:rsid w:val="0010310A"/>
    <w:rsid w:val="00105706"/>
    <w:rsid w:val="00122CE5"/>
    <w:rsid w:val="001252E7"/>
    <w:rsid w:val="001628FD"/>
    <w:rsid w:val="00162FFF"/>
    <w:rsid w:val="00163A19"/>
    <w:rsid w:val="00177705"/>
    <w:rsid w:val="001920C6"/>
    <w:rsid w:val="00193AA7"/>
    <w:rsid w:val="001A79FA"/>
    <w:rsid w:val="001B1932"/>
    <w:rsid w:val="001E7EEA"/>
    <w:rsid w:val="001F198D"/>
    <w:rsid w:val="00200CFC"/>
    <w:rsid w:val="00244B1D"/>
    <w:rsid w:val="00256F35"/>
    <w:rsid w:val="0026396E"/>
    <w:rsid w:val="00270E0B"/>
    <w:rsid w:val="0027751E"/>
    <w:rsid w:val="00286703"/>
    <w:rsid w:val="002B250F"/>
    <w:rsid w:val="002B486F"/>
    <w:rsid w:val="002B5410"/>
    <w:rsid w:val="002C2DF4"/>
    <w:rsid w:val="002C3FD4"/>
    <w:rsid w:val="002C53E6"/>
    <w:rsid w:val="002C56DA"/>
    <w:rsid w:val="002F56BA"/>
    <w:rsid w:val="002F6524"/>
    <w:rsid w:val="003000AF"/>
    <w:rsid w:val="00311AAB"/>
    <w:rsid w:val="00321D75"/>
    <w:rsid w:val="00323F58"/>
    <w:rsid w:val="00326FF6"/>
    <w:rsid w:val="0033323E"/>
    <w:rsid w:val="003631DA"/>
    <w:rsid w:val="003659A0"/>
    <w:rsid w:val="003907E3"/>
    <w:rsid w:val="003A107A"/>
    <w:rsid w:val="003B364B"/>
    <w:rsid w:val="003D42C9"/>
    <w:rsid w:val="003E39FB"/>
    <w:rsid w:val="003E524A"/>
    <w:rsid w:val="003F0525"/>
    <w:rsid w:val="003F22AC"/>
    <w:rsid w:val="003F6201"/>
    <w:rsid w:val="004112F4"/>
    <w:rsid w:val="00416944"/>
    <w:rsid w:val="0042500B"/>
    <w:rsid w:val="00425160"/>
    <w:rsid w:val="0043140A"/>
    <w:rsid w:val="00437213"/>
    <w:rsid w:val="00457EE6"/>
    <w:rsid w:val="004963C6"/>
    <w:rsid w:val="004A183D"/>
    <w:rsid w:val="004D2AEC"/>
    <w:rsid w:val="004D57ED"/>
    <w:rsid w:val="004D5D0E"/>
    <w:rsid w:val="004D7E40"/>
    <w:rsid w:val="004E0068"/>
    <w:rsid w:val="004E6C2A"/>
    <w:rsid w:val="004F09A5"/>
    <w:rsid w:val="004F443E"/>
    <w:rsid w:val="004F4C70"/>
    <w:rsid w:val="004F6C92"/>
    <w:rsid w:val="004F7BD7"/>
    <w:rsid w:val="00506185"/>
    <w:rsid w:val="00514226"/>
    <w:rsid w:val="0052499C"/>
    <w:rsid w:val="00525CA8"/>
    <w:rsid w:val="0054217E"/>
    <w:rsid w:val="005446DC"/>
    <w:rsid w:val="0055255C"/>
    <w:rsid w:val="00570204"/>
    <w:rsid w:val="00572946"/>
    <w:rsid w:val="00584A4D"/>
    <w:rsid w:val="00586962"/>
    <w:rsid w:val="00591D81"/>
    <w:rsid w:val="005A2E11"/>
    <w:rsid w:val="005B462D"/>
    <w:rsid w:val="005D09D8"/>
    <w:rsid w:val="00602FA9"/>
    <w:rsid w:val="00604744"/>
    <w:rsid w:val="006120C7"/>
    <w:rsid w:val="00614B4B"/>
    <w:rsid w:val="00616B8F"/>
    <w:rsid w:val="0062469B"/>
    <w:rsid w:val="006266D1"/>
    <w:rsid w:val="00631103"/>
    <w:rsid w:val="006337BE"/>
    <w:rsid w:val="006378F8"/>
    <w:rsid w:val="00651DF3"/>
    <w:rsid w:val="006569BB"/>
    <w:rsid w:val="00656B45"/>
    <w:rsid w:val="006676A2"/>
    <w:rsid w:val="00671759"/>
    <w:rsid w:val="00675A66"/>
    <w:rsid w:val="00687322"/>
    <w:rsid w:val="00692C08"/>
    <w:rsid w:val="0069718B"/>
    <w:rsid w:val="006A1A9A"/>
    <w:rsid w:val="006B28DA"/>
    <w:rsid w:val="006C1F40"/>
    <w:rsid w:val="006D27EA"/>
    <w:rsid w:val="006D6D3A"/>
    <w:rsid w:val="00713F95"/>
    <w:rsid w:val="007264F3"/>
    <w:rsid w:val="00746FBD"/>
    <w:rsid w:val="00750DE4"/>
    <w:rsid w:val="0077085F"/>
    <w:rsid w:val="007850FF"/>
    <w:rsid w:val="00795F48"/>
    <w:rsid w:val="007974CD"/>
    <w:rsid w:val="007A2039"/>
    <w:rsid w:val="007A23F6"/>
    <w:rsid w:val="007A793B"/>
    <w:rsid w:val="007B3926"/>
    <w:rsid w:val="007C59CC"/>
    <w:rsid w:val="007C5F2F"/>
    <w:rsid w:val="007D53DD"/>
    <w:rsid w:val="007E5944"/>
    <w:rsid w:val="007F263F"/>
    <w:rsid w:val="00821ACE"/>
    <w:rsid w:val="00822F1E"/>
    <w:rsid w:val="0083297E"/>
    <w:rsid w:val="00833D1B"/>
    <w:rsid w:val="00857D0E"/>
    <w:rsid w:val="008626E1"/>
    <w:rsid w:val="0087223F"/>
    <w:rsid w:val="008A5721"/>
    <w:rsid w:val="008D6D65"/>
    <w:rsid w:val="008E5F83"/>
    <w:rsid w:val="008F51CC"/>
    <w:rsid w:val="0090417E"/>
    <w:rsid w:val="009073FA"/>
    <w:rsid w:val="009236F0"/>
    <w:rsid w:val="00930A32"/>
    <w:rsid w:val="00931645"/>
    <w:rsid w:val="009435AD"/>
    <w:rsid w:val="00946C1F"/>
    <w:rsid w:val="00953873"/>
    <w:rsid w:val="009546B2"/>
    <w:rsid w:val="0095750B"/>
    <w:rsid w:val="00984C94"/>
    <w:rsid w:val="009A27F4"/>
    <w:rsid w:val="009A43C6"/>
    <w:rsid w:val="009E3778"/>
    <w:rsid w:val="009E6214"/>
    <w:rsid w:val="009F3480"/>
    <w:rsid w:val="009F6988"/>
    <w:rsid w:val="009F7359"/>
    <w:rsid w:val="00A0577C"/>
    <w:rsid w:val="00A06374"/>
    <w:rsid w:val="00A15843"/>
    <w:rsid w:val="00A2264D"/>
    <w:rsid w:val="00A47A86"/>
    <w:rsid w:val="00A54348"/>
    <w:rsid w:val="00A55598"/>
    <w:rsid w:val="00A57B9F"/>
    <w:rsid w:val="00A63B33"/>
    <w:rsid w:val="00A66C21"/>
    <w:rsid w:val="00A73B47"/>
    <w:rsid w:val="00A97A16"/>
    <w:rsid w:val="00AA00B2"/>
    <w:rsid w:val="00AA2795"/>
    <w:rsid w:val="00AA7743"/>
    <w:rsid w:val="00AB1E05"/>
    <w:rsid w:val="00AE5FFC"/>
    <w:rsid w:val="00AF014D"/>
    <w:rsid w:val="00B044C9"/>
    <w:rsid w:val="00B07320"/>
    <w:rsid w:val="00B32A76"/>
    <w:rsid w:val="00B44857"/>
    <w:rsid w:val="00B56A97"/>
    <w:rsid w:val="00B6433F"/>
    <w:rsid w:val="00B70C09"/>
    <w:rsid w:val="00B70E82"/>
    <w:rsid w:val="00B932A4"/>
    <w:rsid w:val="00B95931"/>
    <w:rsid w:val="00BB162C"/>
    <w:rsid w:val="00BB4B31"/>
    <w:rsid w:val="00BD63C0"/>
    <w:rsid w:val="00BF3483"/>
    <w:rsid w:val="00C11B5B"/>
    <w:rsid w:val="00C11F93"/>
    <w:rsid w:val="00C175CC"/>
    <w:rsid w:val="00C21303"/>
    <w:rsid w:val="00C22C31"/>
    <w:rsid w:val="00C3006F"/>
    <w:rsid w:val="00C55B2E"/>
    <w:rsid w:val="00C604FB"/>
    <w:rsid w:val="00C67DA9"/>
    <w:rsid w:val="00C71065"/>
    <w:rsid w:val="00C74266"/>
    <w:rsid w:val="00C7627F"/>
    <w:rsid w:val="00C7767B"/>
    <w:rsid w:val="00C811D1"/>
    <w:rsid w:val="00C86D92"/>
    <w:rsid w:val="00CA71E4"/>
    <w:rsid w:val="00CB325E"/>
    <w:rsid w:val="00CC5F93"/>
    <w:rsid w:val="00CD6A0E"/>
    <w:rsid w:val="00CD7897"/>
    <w:rsid w:val="00CE1881"/>
    <w:rsid w:val="00CF210B"/>
    <w:rsid w:val="00D36A3C"/>
    <w:rsid w:val="00D43C47"/>
    <w:rsid w:val="00D45322"/>
    <w:rsid w:val="00D5221D"/>
    <w:rsid w:val="00D6718A"/>
    <w:rsid w:val="00D67A95"/>
    <w:rsid w:val="00D84F32"/>
    <w:rsid w:val="00D87F26"/>
    <w:rsid w:val="00DA1E44"/>
    <w:rsid w:val="00DB0D51"/>
    <w:rsid w:val="00DB40B2"/>
    <w:rsid w:val="00DC3B29"/>
    <w:rsid w:val="00DC7225"/>
    <w:rsid w:val="00DE2E59"/>
    <w:rsid w:val="00DE399C"/>
    <w:rsid w:val="00DF3F0C"/>
    <w:rsid w:val="00E25028"/>
    <w:rsid w:val="00E458CC"/>
    <w:rsid w:val="00E72B61"/>
    <w:rsid w:val="00E7754F"/>
    <w:rsid w:val="00E90DA3"/>
    <w:rsid w:val="00E943A8"/>
    <w:rsid w:val="00E95616"/>
    <w:rsid w:val="00EB4DA4"/>
    <w:rsid w:val="00EC1941"/>
    <w:rsid w:val="00EC7CCC"/>
    <w:rsid w:val="00ED2394"/>
    <w:rsid w:val="00F1229A"/>
    <w:rsid w:val="00F26116"/>
    <w:rsid w:val="00F40E7B"/>
    <w:rsid w:val="00F50C0E"/>
    <w:rsid w:val="00F678D4"/>
    <w:rsid w:val="00F765CD"/>
    <w:rsid w:val="00F91906"/>
    <w:rsid w:val="00F9358D"/>
    <w:rsid w:val="00F94263"/>
    <w:rsid w:val="00FA1CF8"/>
    <w:rsid w:val="00FC0376"/>
    <w:rsid w:val="00FC2981"/>
    <w:rsid w:val="00FF25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A1375"/>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F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872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9477">
      <w:bodyDiv w:val="1"/>
      <w:marLeft w:val="0"/>
      <w:marRight w:val="0"/>
      <w:marTop w:val="0"/>
      <w:marBottom w:val="0"/>
      <w:divBdr>
        <w:top w:val="none" w:sz="0" w:space="0" w:color="auto"/>
        <w:left w:val="none" w:sz="0" w:space="0" w:color="auto"/>
        <w:bottom w:val="none" w:sz="0" w:space="0" w:color="auto"/>
        <w:right w:val="none" w:sz="0" w:space="0" w:color="auto"/>
      </w:divBdr>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774331">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view/ilyungcheong/ho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IlYung Cheong</cp:lastModifiedBy>
  <cp:revision>35</cp:revision>
  <dcterms:created xsi:type="dcterms:W3CDTF">2026-06-04T14:40:00Z</dcterms:created>
  <dcterms:modified xsi:type="dcterms:W3CDTF">2026-06-24T19:09:00Z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