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4891" w14:textId="77777777" w:rsidR="0051410F" w:rsidRPr="00FD47E8" w:rsidRDefault="00C663C6" w:rsidP="008D7343">
      <w:pPr>
        <w:spacing w:after="0" w:line="240" w:lineRule="auto"/>
        <w:contextualSpacing/>
        <w:jc w:val="center"/>
        <w:rPr>
          <w:rFonts w:cs="Arial"/>
        </w:rPr>
      </w:pPr>
      <w:r w:rsidRPr="00FD47E8">
        <w:rPr>
          <w:rFonts w:cs="Arial"/>
          <w:noProof/>
        </w:rPr>
        <w:drawing>
          <wp:inline distT="0" distB="0" distL="0" distR="0" wp14:anchorId="0C6639E0" wp14:editId="48C6ED90">
            <wp:extent cx="3246120" cy="11190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logo_extracted.png"/>
                    <pic:cNvPicPr/>
                  </pic:nvPicPr>
                  <pic:blipFill>
                    <a:blip r:embed="rId8"/>
                    <a:stretch>
                      <a:fillRect/>
                    </a:stretch>
                  </pic:blipFill>
                  <pic:spPr>
                    <a:xfrm>
                      <a:off x="0" y="0"/>
                      <a:ext cx="3246120" cy="1119084"/>
                    </a:xfrm>
                    <a:prstGeom prst="rect">
                      <a:avLst/>
                    </a:prstGeom>
                  </pic:spPr>
                </pic:pic>
              </a:graphicData>
            </a:graphic>
          </wp:inline>
        </w:drawing>
      </w:r>
    </w:p>
    <w:p w14:paraId="5DE0BACA" w14:textId="77777777" w:rsidR="0051410F" w:rsidRPr="00FD47E8" w:rsidRDefault="0051410F" w:rsidP="008D7343">
      <w:pPr>
        <w:pBdr>
          <w:bottom w:val="single" w:sz="8" w:space="1" w:color="000000"/>
        </w:pBdr>
        <w:spacing w:after="0" w:line="240" w:lineRule="auto"/>
        <w:contextualSpacing/>
        <w:rPr>
          <w:rFonts w:cs="Arial"/>
        </w:rPr>
      </w:pPr>
    </w:p>
    <w:p w14:paraId="116AC89A" w14:textId="77777777" w:rsidR="0051410F" w:rsidRDefault="00C663C6" w:rsidP="008D7343">
      <w:pPr>
        <w:spacing w:after="0" w:line="240" w:lineRule="auto"/>
        <w:contextualSpacing/>
        <w:jc w:val="center"/>
        <w:rPr>
          <w:rFonts w:cs="Arial"/>
          <w:b/>
          <w:sz w:val="22"/>
        </w:rPr>
      </w:pPr>
      <w:r w:rsidRPr="00FD47E8">
        <w:rPr>
          <w:rFonts w:cs="Arial"/>
          <w:b/>
          <w:sz w:val="22"/>
        </w:rPr>
        <w:t>Trinity Business School</w:t>
      </w:r>
    </w:p>
    <w:p w14:paraId="494FCAEF" w14:textId="77777777" w:rsidR="008D7343" w:rsidRPr="00FD47E8" w:rsidRDefault="008D7343" w:rsidP="008D7343">
      <w:pPr>
        <w:spacing w:after="0" w:line="240" w:lineRule="auto"/>
        <w:contextualSpacing/>
        <w:jc w:val="center"/>
        <w:rPr>
          <w:rFonts w:cs="Arial"/>
          <w:b/>
          <w:sz w:val="22"/>
        </w:rPr>
      </w:pPr>
    </w:p>
    <w:p w14:paraId="77728930" w14:textId="0B769C55" w:rsidR="005329D1" w:rsidRDefault="005329D1" w:rsidP="008D7343">
      <w:pPr>
        <w:spacing w:after="0" w:line="240" w:lineRule="auto"/>
        <w:contextualSpacing/>
        <w:jc w:val="center"/>
        <w:rPr>
          <w:rFonts w:cs="Arial"/>
          <w:b/>
          <w:sz w:val="22"/>
        </w:rPr>
      </w:pPr>
      <w:r w:rsidRPr="00FD47E8">
        <w:rPr>
          <w:rFonts w:cs="Arial"/>
          <w:b/>
          <w:sz w:val="22"/>
        </w:rPr>
        <w:t>Managing People and Leading Change</w:t>
      </w:r>
    </w:p>
    <w:p w14:paraId="6541AB9F" w14:textId="77777777" w:rsidR="008D7343" w:rsidRPr="00FD47E8" w:rsidRDefault="008D7343" w:rsidP="008D7343">
      <w:pPr>
        <w:spacing w:after="0" w:line="240" w:lineRule="auto"/>
        <w:contextualSpacing/>
        <w:jc w:val="center"/>
        <w:rPr>
          <w:rFonts w:cs="Arial"/>
        </w:rPr>
      </w:pPr>
    </w:p>
    <w:p w14:paraId="03C8D585" w14:textId="2225705C" w:rsidR="0051410F" w:rsidRDefault="00C663C6" w:rsidP="008D7343">
      <w:pPr>
        <w:spacing w:after="0" w:line="240" w:lineRule="auto"/>
        <w:contextualSpacing/>
        <w:jc w:val="center"/>
        <w:rPr>
          <w:rFonts w:cs="Arial"/>
          <w:b/>
          <w:sz w:val="22"/>
        </w:rPr>
      </w:pPr>
      <w:r w:rsidRPr="00FD47E8">
        <w:rPr>
          <w:rFonts w:cs="Arial"/>
          <w:b/>
          <w:sz w:val="22"/>
        </w:rPr>
        <w:t>Module Outline 202</w:t>
      </w:r>
      <w:r w:rsidR="00BB0FA7" w:rsidRPr="00FD47E8">
        <w:rPr>
          <w:rFonts w:cs="Arial"/>
          <w:b/>
          <w:sz w:val="22"/>
        </w:rPr>
        <w:t>6</w:t>
      </w:r>
      <w:r w:rsidRPr="00FD47E8">
        <w:rPr>
          <w:rFonts w:cs="Arial"/>
          <w:b/>
          <w:sz w:val="22"/>
        </w:rPr>
        <w:t>-202</w:t>
      </w:r>
      <w:r w:rsidR="00BB0FA7" w:rsidRPr="00FD47E8">
        <w:rPr>
          <w:rFonts w:cs="Arial"/>
          <w:b/>
          <w:sz w:val="22"/>
        </w:rPr>
        <w:t>7</w:t>
      </w:r>
    </w:p>
    <w:p w14:paraId="7F14A683" w14:textId="77777777" w:rsidR="008D7343" w:rsidRPr="00FD47E8" w:rsidRDefault="008D7343" w:rsidP="008D7343">
      <w:pPr>
        <w:spacing w:after="0" w:line="240" w:lineRule="auto"/>
        <w:contextualSpacing/>
        <w:jc w:val="center"/>
        <w:rPr>
          <w:rFonts w:cs="Arial"/>
        </w:rPr>
      </w:pPr>
    </w:p>
    <w:tbl>
      <w:tblPr>
        <w:tblW w:w="0" w:type="auto"/>
        <w:tblBorders>
          <w:top w:val="nil"/>
          <w:left w:val="nil"/>
          <w:bottom w:val="nil"/>
          <w:right w:val="nil"/>
          <w:insideH w:val="nil"/>
          <w:insideV w:val="nil"/>
        </w:tblBorders>
        <w:tblLook w:val="04A0" w:firstRow="1" w:lastRow="0" w:firstColumn="1" w:lastColumn="0" w:noHBand="0" w:noVBand="1"/>
      </w:tblPr>
      <w:tblGrid>
        <w:gridCol w:w="2376"/>
        <w:gridCol w:w="7200"/>
      </w:tblGrid>
      <w:tr w:rsidR="0051410F" w:rsidRPr="00FD47E8" w14:paraId="01A76D96" w14:textId="77777777">
        <w:trPr>
          <w:cantSplit/>
        </w:trPr>
        <w:tc>
          <w:tcPr>
            <w:tcW w:w="2376" w:type="dxa"/>
          </w:tcPr>
          <w:p w14:paraId="4AB3F8FA" w14:textId="77777777" w:rsidR="0051410F" w:rsidRPr="00FD47E8" w:rsidRDefault="00C663C6" w:rsidP="008D7343">
            <w:pPr>
              <w:spacing w:after="0" w:line="240" w:lineRule="auto"/>
              <w:contextualSpacing/>
              <w:rPr>
                <w:rFonts w:cs="Arial"/>
              </w:rPr>
            </w:pPr>
            <w:r w:rsidRPr="00FD47E8">
              <w:rPr>
                <w:rFonts w:cs="Arial"/>
                <w:b/>
              </w:rPr>
              <w:t>MODULE CODE:</w:t>
            </w:r>
          </w:p>
        </w:tc>
        <w:tc>
          <w:tcPr>
            <w:tcW w:w="7200" w:type="dxa"/>
          </w:tcPr>
          <w:p w14:paraId="7563685B" w14:textId="244701EC" w:rsidR="0051410F" w:rsidRPr="00FD47E8" w:rsidRDefault="00BB6709" w:rsidP="008D7343">
            <w:pPr>
              <w:spacing w:after="0" w:line="240" w:lineRule="auto"/>
              <w:contextualSpacing/>
              <w:rPr>
                <w:rFonts w:cs="Arial"/>
              </w:rPr>
            </w:pPr>
            <w:r w:rsidRPr="00FD47E8">
              <w:rPr>
                <w:rFonts w:cs="Arial"/>
              </w:rPr>
              <w:t>BUU44701</w:t>
            </w:r>
          </w:p>
        </w:tc>
      </w:tr>
      <w:tr w:rsidR="0051410F" w:rsidRPr="00FD47E8" w14:paraId="1CB56DB3" w14:textId="77777777">
        <w:trPr>
          <w:cantSplit/>
        </w:trPr>
        <w:tc>
          <w:tcPr>
            <w:tcW w:w="2376" w:type="dxa"/>
          </w:tcPr>
          <w:p w14:paraId="0F23D702" w14:textId="77777777" w:rsidR="0051410F" w:rsidRPr="00FD47E8" w:rsidRDefault="00C663C6" w:rsidP="008D7343">
            <w:pPr>
              <w:spacing w:after="0" w:line="240" w:lineRule="auto"/>
              <w:contextualSpacing/>
              <w:rPr>
                <w:rFonts w:cs="Arial"/>
              </w:rPr>
            </w:pPr>
            <w:r w:rsidRPr="00FD47E8">
              <w:rPr>
                <w:rFonts w:cs="Arial"/>
                <w:b/>
              </w:rPr>
              <w:t>MODULE NAME:</w:t>
            </w:r>
          </w:p>
        </w:tc>
        <w:tc>
          <w:tcPr>
            <w:tcW w:w="7200" w:type="dxa"/>
          </w:tcPr>
          <w:p w14:paraId="6CFC0E17" w14:textId="0AD457FC" w:rsidR="0051410F" w:rsidRPr="00FD47E8" w:rsidRDefault="00BB6709" w:rsidP="008D7343">
            <w:pPr>
              <w:spacing w:after="0" w:line="240" w:lineRule="auto"/>
              <w:contextualSpacing/>
              <w:rPr>
                <w:rFonts w:cs="Arial"/>
              </w:rPr>
            </w:pPr>
            <w:r w:rsidRPr="00FD47E8">
              <w:rPr>
                <w:rFonts w:cs="Arial"/>
              </w:rPr>
              <w:t>Managing People and Leading Change</w:t>
            </w:r>
          </w:p>
        </w:tc>
      </w:tr>
      <w:tr w:rsidR="0051410F" w:rsidRPr="00FD47E8" w14:paraId="64C418C1" w14:textId="77777777">
        <w:trPr>
          <w:cantSplit/>
        </w:trPr>
        <w:tc>
          <w:tcPr>
            <w:tcW w:w="2376" w:type="dxa"/>
          </w:tcPr>
          <w:p w14:paraId="773E25F2" w14:textId="77777777" w:rsidR="0051410F" w:rsidRPr="00FD47E8" w:rsidRDefault="00C663C6" w:rsidP="008D7343">
            <w:pPr>
              <w:spacing w:after="0" w:line="240" w:lineRule="auto"/>
              <w:contextualSpacing/>
              <w:rPr>
                <w:rFonts w:cs="Arial"/>
              </w:rPr>
            </w:pPr>
            <w:r w:rsidRPr="00FD47E8">
              <w:rPr>
                <w:rFonts w:cs="Arial"/>
                <w:b/>
              </w:rPr>
              <w:t>ECTS:</w:t>
            </w:r>
          </w:p>
        </w:tc>
        <w:tc>
          <w:tcPr>
            <w:tcW w:w="7200" w:type="dxa"/>
          </w:tcPr>
          <w:p w14:paraId="26429E6A" w14:textId="269EB1C3" w:rsidR="0051410F" w:rsidRPr="00FD47E8" w:rsidRDefault="00C663C6" w:rsidP="008D7343">
            <w:pPr>
              <w:spacing w:after="0" w:line="240" w:lineRule="auto"/>
              <w:contextualSpacing/>
              <w:rPr>
                <w:rFonts w:cs="Arial"/>
              </w:rPr>
            </w:pPr>
            <w:r w:rsidRPr="00FD47E8">
              <w:rPr>
                <w:rFonts w:cs="Arial"/>
              </w:rPr>
              <w:t xml:space="preserve">This course carries </w:t>
            </w:r>
            <w:r w:rsidR="00BB6709" w:rsidRPr="00FD47E8">
              <w:rPr>
                <w:rFonts w:cs="Arial"/>
              </w:rPr>
              <w:t>5</w:t>
            </w:r>
            <w:r w:rsidRPr="00FD47E8">
              <w:rPr>
                <w:rFonts w:cs="Arial"/>
              </w:rPr>
              <w:t xml:space="preserve"> ECTS credits.</w:t>
            </w:r>
          </w:p>
        </w:tc>
      </w:tr>
      <w:tr w:rsidR="0051410F" w:rsidRPr="00FD47E8" w14:paraId="5E0A5562" w14:textId="77777777">
        <w:trPr>
          <w:cantSplit/>
        </w:trPr>
        <w:tc>
          <w:tcPr>
            <w:tcW w:w="2376" w:type="dxa"/>
          </w:tcPr>
          <w:p w14:paraId="51F6928F" w14:textId="77777777" w:rsidR="0051410F" w:rsidRPr="00FD47E8" w:rsidRDefault="00C663C6" w:rsidP="008D7343">
            <w:pPr>
              <w:spacing w:after="0" w:line="240" w:lineRule="auto"/>
              <w:contextualSpacing/>
              <w:rPr>
                <w:rFonts w:cs="Arial"/>
              </w:rPr>
            </w:pPr>
            <w:r w:rsidRPr="00FD47E8">
              <w:rPr>
                <w:rFonts w:cs="Arial"/>
                <w:b/>
              </w:rPr>
              <w:t>Lecturer:</w:t>
            </w:r>
          </w:p>
        </w:tc>
        <w:tc>
          <w:tcPr>
            <w:tcW w:w="7200" w:type="dxa"/>
          </w:tcPr>
          <w:p w14:paraId="7B6147BF" w14:textId="6F9F5AD5" w:rsidR="0051410F" w:rsidRPr="00FD47E8" w:rsidRDefault="00BB6709" w:rsidP="008D7343">
            <w:pPr>
              <w:spacing w:after="0" w:line="240" w:lineRule="auto"/>
              <w:contextualSpacing/>
              <w:rPr>
                <w:rFonts w:cs="Arial"/>
              </w:rPr>
            </w:pPr>
            <w:r w:rsidRPr="00FD47E8">
              <w:rPr>
                <w:rFonts w:cs="Arial"/>
              </w:rPr>
              <w:t>Professor Amanda Shantz</w:t>
            </w:r>
          </w:p>
        </w:tc>
      </w:tr>
      <w:tr w:rsidR="0051410F" w:rsidRPr="00FD47E8" w14:paraId="18BF9F2B" w14:textId="77777777">
        <w:trPr>
          <w:cantSplit/>
        </w:trPr>
        <w:tc>
          <w:tcPr>
            <w:tcW w:w="2376" w:type="dxa"/>
          </w:tcPr>
          <w:p w14:paraId="4D7A7920" w14:textId="77777777" w:rsidR="0051410F" w:rsidRPr="00FD47E8" w:rsidRDefault="00C663C6" w:rsidP="008D7343">
            <w:pPr>
              <w:spacing w:after="0" w:line="240" w:lineRule="auto"/>
              <w:contextualSpacing/>
              <w:rPr>
                <w:rFonts w:cs="Arial"/>
              </w:rPr>
            </w:pPr>
            <w:r w:rsidRPr="00FD47E8">
              <w:rPr>
                <w:rFonts w:cs="Arial"/>
                <w:b/>
              </w:rPr>
              <w:t>Phone:</w:t>
            </w:r>
          </w:p>
        </w:tc>
        <w:tc>
          <w:tcPr>
            <w:tcW w:w="7200" w:type="dxa"/>
          </w:tcPr>
          <w:p w14:paraId="6E85A95F" w14:textId="1E44120D" w:rsidR="0051410F" w:rsidRPr="00FD47E8" w:rsidRDefault="00BB6709" w:rsidP="008D7343">
            <w:pPr>
              <w:spacing w:after="0" w:line="240" w:lineRule="auto"/>
              <w:contextualSpacing/>
              <w:rPr>
                <w:rFonts w:cs="Arial"/>
              </w:rPr>
            </w:pPr>
            <w:r w:rsidRPr="00FD47E8">
              <w:rPr>
                <w:rFonts w:cs="Arial"/>
              </w:rPr>
              <w:t>n/a</w:t>
            </w:r>
          </w:p>
        </w:tc>
      </w:tr>
      <w:tr w:rsidR="0051410F" w:rsidRPr="00FD47E8" w14:paraId="643B1F2B" w14:textId="77777777">
        <w:trPr>
          <w:cantSplit/>
        </w:trPr>
        <w:tc>
          <w:tcPr>
            <w:tcW w:w="2376" w:type="dxa"/>
          </w:tcPr>
          <w:p w14:paraId="0A49FFA1" w14:textId="77777777" w:rsidR="0051410F" w:rsidRPr="00FD47E8" w:rsidRDefault="00C663C6" w:rsidP="008D7343">
            <w:pPr>
              <w:spacing w:after="0" w:line="240" w:lineRule="auto"/>
              <w:contextualSpacing/>
              <w:rPr>
                <w:rFonts w:cs="Arial"/>
              </w:rPr>
            </w:pPr>
            <w:r w:rsidRPr="00FD47E8">
              <w:rPr>
                <w:rFonts w:cs="Arial"/>
                <w:b/>
              </w:rPr>
              <w:t>E-mail:</w:t>
            </w:r>
          </w:p>
        </w:tc>
        <w:tc>
          <w:tcPr>
            <w:tcW w:w="7200" w:type="dxa"/>
          </w:tcPr>
          <w:p w14:paraId="53E07025" w14:textId="07195AAA" w:rsidR="0051410F" w:rsidRPr="00FD47E8" w:rsidRDefault="00BB6709" w:rsidP="008D7343">
            <w:pPr>
              <w:spacing w:after="0" w:line="240" w:lineRule="auto"/>
              <w:contextualSpacing/>
              <w:rPr>
                <w:rFonts w:cs="Arial"/>
              </w:rPr>
            </w:pPr>
            <w:hyperlink r:id="rId9" w:history="1">
              <w:r w:rsidRPr="00FD47E8">
                <w:rPr>
                  <w:rStyle w:val="Hyperlink"/>
                  <w:rFonts w:cs="Arial"/>
                  <w:color w:val="auto"/>
                </w:rPr>
                <w:t>shantza@tcd.ie</w:t>
              </w:r>
            </w:hyperlink>
            <w:r w:rsidRPr="00FD47E8">
              <w:rPr>
                <w:rFonts w:cs="Arial"/>
              </w:rPr>
              <w:t xml:space="preserve"> </w:t>
            </w:r>
          </w:p>
        </w:tc>
      </w:tr>
    </w:tbl>
    <w:p w14:paraId="68DE9DFA" w14:textId="77777777" w:rsidR="008D7343" w:rsidRDefault="008D7343" w:rsidP="008D7343">
      <w:pPr>
        <w:pStyle w:val="SectionHeading"/>
        <w:spacing w:before="0" w:after="0" w:line="240" w:lineRule="auto"/>
        <w:contextualSpacing/>
        <w:rPr>
          <w:rFonts w:cs="Arial"/>
          <w:color w:val="auto"/>
        </w:rPr>
      </w:pPr>
    </w:p>
    <w:p w14:paraId="4BF503F9" w14:textId="56DC9F78" w:rsidR="0051410F" w:rsidRPr="00FD47E8" w:rsidRDefault="00C663C6" w:rsidP="008D7343">
      <w:pPr>
        <w:pStyle w:val="SectionHeading"/>
        <w:spacing w:before="0" w:after="0" w:line="240" w:lineRule="auto"/>
        <w:contextualSpacing/>
        <w:rPr>
          <w:rFonts w:cs="Arial"/>
          <w:color w:val="auto"/>
        </w:rPr>
      </w:pPr>
      <w:r w:rsidRPr="00FD47E8">
        <w:rPr>
          <w:rFonts w:cs="Arial"/>
          <w:color w:val="auto"/>
        </w:rPr>
        <w:t>MODULE DESCRIPTION</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320FB330" w14:textId="77777777">
        <w:trPr>
          <w:cantSplit/>
          <w:jc w:val="center"/>
        </w:trPr>
        <w:tc>
          <w:tcPr>
            <w:tcW w:w="10080" w:type="dxa"/>
            <w:shd w:val="clear" w:color="auto" w:fill="F7F7F7"/>
          </w:tcPr>
          <w:p w14:paraId="11A640C6" w14:textId="14B26D6B" w:rsidR="0051410F" w:rsidRPr="00FD47E8" w:rsidRDefault="005C3E54" w:rsidP="008D7343">
            <w:pPr>
              <w:spacing w:after="0" w:line="240" w:lineRule="auto"/>
              <w:contextualSpacing/>
              <w:rPr>
                <w:rFonts w:cs="Arial"/>
                <w:szCs w:val="20"/>
              </w:rPr>
            </w:pPr>
            <w:r w:rsidRPr="00FD47E8">
              <w:rPr>
                <w:rFonts w:cs="Arial"/>
                <w:szCs w:val="20"/>
              </w:rPr>
              <w:t xml:space="preserve">This module examines leadership as a research-informed field of study and explores how leadership theory can be applied to contemporary organizational practice. Students will develop the ability to </w:t>
            </w:r>
            <w:proofErr w:type="spellStart"/>
            <w:r w:rsidRPr="00FD47E8">
              <w:rPr>
                <w:rFonts w:cs="Arial"/>
                <w:szCs w:val="20"/>
              </w:rPr>
              <w:t>analyse</w:t>
            </w:r>
            <w:proofErr w:type="spellEnd"/>
            <w:r w:rsidRPr="00FD47E8">
              <w:rPr>
                <w:rFonts w:cs="Arial"/>
                <w:szCs w:val="20"/>
              </w:rPr>
              <w:t xml:space="preserve"> leadership situations using multiple theoretical perspectives, evaluate research evidence, and apply leadership concepts to real-world organizational cases. The module contributes to the </w:t>
            </w:r>
            <w:proofErr w:type="spellStart"/>
            <w:r w:rsidRPr="00FD47E8">
              <w:rPr>
                <w:rFonts w:cs="Arial"/>
                <w:szCs w:val="20"/>
              </w:rPr>
              <w:t>programme</w:t>
            </w:r>
            <w:proofErr w:type="spellEnd"/>
            <w:r w:rsidRPr="00FD47E8">
              <w:rPr>
                <w:rFonts w:cs="Arial"/>
                <w:szCs w:val="20"/>
              </w:rPr>
              <w:t xml:space="preserve"> by integrating knowledge from management, organizational </w:t>
            </w:r>
            <w:proofErr w:type="spellStart"/>
            <w:r w:rsidRPr="00FD47E8">
              <w:rPr>
                <w:rFonts w:cs="Arial"/>
                <w:szCs w:val="20"/>
              </w:rPr>
              <w:t>behaviour</w:t>
            </w:r>
            <w:proofErr w:type="spellEnd"/>
            <w:r w:rsidRPr="00FD47E8">
              <w:rPr>
                <w:rFonts w:cs="Arial"/>
                <w:szCs w:val="20"/>
              </w:rPr>
              <w:t>, ethics, sustainability, strategy, and change, while supporting students’ preparation for careers in management, consulting, human resource management, organizational development, entrepreneurship, sustainability, and related areas of business practice.</w:t>
            </w:r>
            <w:r w:rsidR="005936C1" w:rsidRPr="00FD47E8">
              <w:rPr>
                <w:rFonts w:cs="Arial"/>
                <w:szCs w:val="20"/>
              </w:rPr>
              <w:t xml:space="preserve"> Please note that this is not a leadership development module focused on developing students’ personal leadership style; rather, it introduces students to major theories, evidence, and debates in leadership research.</w:t>
            </w:r>
          </w:p>
        </w:tc>
      </w:tr>
    </w:tbl>
    <w:p w14:paraId="3CC741AD" w14:textId="77777777" w:rsidR="008D7343" w:rsidRDefault="008D7343" w:rsidP="008D7343">
      <w:pPr>
        <w:pStyle w:val="SectionHeading"/>
        <w:spacing w:before="0" w:after="0" w:line="240" w:lineRule="auto"/>
        <w:contextualSpacing/>
        <w:rPr>
          <w:rFonts w:cs="Arial"/>
          <w:color w:val="auto"/>
        </w:rPr>
      </w:pPr>
    </w:p>
    <w:p w14:paraId="2E6F4E2A" w14:textId="4DFEA330" w:rsidR="0051410F" w:rsidRPr="00FD47E8" w:rsidRDefault="00C663C6" w:rsidP="008D7343">
      <w:pPr>
        <w:pStyle w:val="SectionHeading"/>
        <w:spacing w:before="0" w:after="0" w:line="240" w:lineRule="auto"/>
        <w:contextualSpacing/>
        <w:rPr>
          <w:rFonts w:cs="Arial"/>
          <w:color w:val="auto"/>
        </w:rPr>
      </w:pPr>
      <w:r w:rsidRPr="00FD47E8">
        <w:rPr>
          <w:rFonts w:cs="Arial"/>
          <w:color w:val="auto"/>
        </w:rPr>
        <w:t>LEARNING AND TEACHING APPROACH</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1907E797" w14:textId="77777777">
        <w:trPr>
          <w:cantSplit/>
          <w:jc w:val="center"/>
        </w:trPr>
        <w:tc>
          <w:tcPr>
            <w:tcW w:w="10080" w:type="dxa"/>
            <w:shd w:val="clear" w:color="auto" w:fill="F7F7F7"/>
          </w:tcPr>
          <w:p w14:paraId="0B1654F0" w14:textId="77777777" w:rsidR="0051410F" w:rsidRDefault="00AA6ED1" w:rsidP="008D7343">
            <w:pPr>
              <w:spacing w:after="0" w:line="240" w:lineRule="auto"/>
              <w:contextualSpacing/>
              <w:rPr>
                <w:rFonts w:cs="Arial"/>
                <w:szCs w:val="20"/>
              </w:rPr>
            </w:pPr>
            <w:r w:rsidRPr="00FD47E8">
              <w:rPr>
                <w:rFonts w:cs="Arial"/>
                <w:szCs w:val="20"/>
              </w:rPr>
              <w:t xml:space="preserve">The module will be taught over 11 lessons using an integrated combination of lectures, case discussion, group work, and practical application. Each lesson will introduce key leadership theories, research findings, and debates, while also using examples and cases to help students apply these ideas to real organizational and leadership situations. Students will be expected to engage actively with assigned readings, contribute to class discussion, and </w:t>
            </w:r>
            <w:proofErr w:type="spellStart"/>
            <w:r w:rsidRPr="00FD47E8">
              <w:rPr>
                <w:rFonts w:cs="Arial"/>
                <w:szCs w:val="20"/>
              </w:rPr>
              <w:t>practise</w:t>
            </w:r>
            <w:proofErr w:type="spellEnd"/>
            <w:r w:rsidRPr="00FD47E8">
              <w:rPr>
                <w:rFonts w:cs="Arial"/>
                <w:szCs w:val="20"/>
              </w:rPr>
              <w:t xml:space="preserve"> </w:t>
            </w:r>
            <w:proofErr w:type="spellStart"/>
            <w:r w:rsidRPr="00FD47E8">
              <w:rPr>
                <w:rFonts w:cs="Arial"/>
                <w:szCs w:val="20"/>
              </w:rPr>
              <w:t>analysing</w:t>
            </w:r>
            <w:proofErr w:type="spellEnd"/>
            <w:r w:rsidRPr="00FD47E8">
              <w:rPr>
                <w:rFonts w:cs="Arial"/>
                <w:szCs w:val="20"/>
              </w:rPr>
              <w:t xml:space="preserve"> leadership issues from multiple theoretical perspectives. In-class activities and case discussions will support preparation for the Leadership Case Analysis group assignment by helping students connect leadership concepts to evidence, context, and practice. The teaching approach is designed to develop students’ theoretical understanding, analytical judgement, and ability to apply leadership research to contemporary business and organizational challenges.</w:t>
            </w:r>
          </w:p>
          <w:p w14:paraId="1CBF34B5" w14:textId="77777777" w:rsidR="008D7343" w:rsidRPr="00FD47E8" w:rsidRDefault="008D7343" w:rsidP="008D7343">
            <w:pPr>
              <w:spacing w:after="0" w:line="240" w:lineRule="auto"/>
              <w:contextualSpacing/>
              <w:rPr>
                <w:rFonts w:cs="Arial"/>
                <w:szCs w:val="20"/>
              </w:rPr>
            </w:pPr>
          </w:p>
          <w:p w14:paraId="7F166404" w14:textId="74E1BDA4" w:rsidR="007210B7" w:rsidRPr="00FD47E8" w:rsidRDefault="007210B7" w:rsidP="008D7343">
            <w:pPr>
              <w:spacing w:after="0" w:line="240" w:lineRule="auto"/>
              <w:contextualSpacing/>
              <w:rPr>
                <w:rFonts w:cs="Arial"/>
                <w:szCs w:val="20"/>
              </w:rPr>
            </w:pPr>
            <w:r w:rsidRPr="00FD47E8">
              <w:rPr>
                <w:rFonts w:cs="Arial"/>
                <w:szCs w:val="20"/>
              </w:rPr>
              <w:t xml:space="preserve">To do well in this module, students should focus on understanding theories rather than </w:t>
            </w:r>
            <w:proofErr w:type="spellStart"/>
            <w:r w:rsidRPr="00FD47E8">
              <w:rPr>
                <w:rFonts w:cs="Arial"/>
                <w:szCs w:val="20"/>
              </w:rPr>
              <w:t>memorising</w:t>
            </w:r>
            <w:proofErr w:type="spellEnd"/>
            <w:r w:rsidRPr="00FD47E8">
              <w:rPr>
                <w:rFonts w:cs="Arial"/>
                <w:szCs w:val="20"/>
              </w:rPr>
              <w:t xml:space="preserve"> labels. Strong work will define concepts accurately, compare theories, apply them to evidence from cases, evaluate their strengths and limitations, and build clear arguments supported by research.</w:t>
            </w:r>
          </w:p>
        </w:tc>
      </w:tr>
    </w:tbl>
    <w:p w14:paraId="60583275" w14:textId="77777777" w:rsidR="005329D1" w:rsidRPr="00FD47E8" w:rsidRDefault="005329D1" w:rsidP="008D7343">
      <w:pPr>
        <w:pStyle w:val="Subheading"/>
        <w:spacing w:before="0" w:after="0" w:line="240" w:lineRule="auto"/>
        <w:contextualSpacing/>
        <w:rPr>
          <w:rFonts w:cs="Arial"/>
        </w:rPr>
        <w:sectPr w:rsidR="005329D1" w:rsidRPr="00FD47E8" w:rsidSect="00034616">
          <w:footerReference w:type="default" r:id="rId10"/>
          <w:pgSz w:w="12240" w:h="15840"/>
          <w:pgMar w:top="936" w:right="1080" w:bottom="936" w:left="1080" w:header="720" w:footer="720" w:gutter="0"/>
          <w:cols w:space="720"/>
          <w:docGrid w:linePitch="360"/>
        </w:sectPr>
      </w:pPr>
    </w:p>
    <w:p w14:paraId="5F4C422D" w14:textId="77777777" w:rsidR="0051410F" w:rsidRPr="00FD47E8" w:rsidRDefault="00C663C6" w:rsidP="008D7343">
      <w:pPr>
        <w:pStyle w:val="Subheading"/>
        <w:spacing w:before="0" w:after="0" w:line="240" w:lineRule="auto"/>
        <w:contextualSpacing/>
        <w:rPr>
          <w:rFonts w:cs="Arial"/>
        </w:rPr>
      </w:pPr>
      <w:r w:rsidRPr="00FD47E8">
        <w:rPr>
          <w:rFonts w:cs="Arial"/>
        </w:rPr>
        <w:lastRenderedPageBreak/>
        <w:t>Reading and Independent Learning</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3B52BF75" w14:textId="77777777">
        <w:trPr>
          <w:cantSplit/>
          <w:jc w:val="center"/>
        </w:trPr>
        <w:tc>
          <w:tcPr>
            <w:tcW w:w="10080" w:type="dxa"/>
            <w:shd w:val="clear" w:color="auto" w:fill="F7F7F7"/>
          </w:tcPr>
          <w:p w14:paraId="0B93ACA4" w14:textId="396B7373" w:rsidR="0051410F" w:rsidRPr="00FD47E8" w:rsidRDefault="00AA6ED1" w:rsidP="008D7343">
            <w:pPr>
              <w:spacing w:after="0" w:line="240" w:lineRule="auto"/>
              <w:contextualSpacing/>
              <w:rPr>
                <w:rFonts w:cs="Arial"/>
                <w:szCs w:val="20"/>
              </w:rPr>
            </w:pPr>
            <w:r w:rsidRPr="00FD47E8">
              <w:rPr>
                <w:rFonts w:cs="Arial"/>
                <w:szCs w:val="20"/>
              </w:rPr>
              <w:t xml:space="preserve">The textbook for this module has been chosen because it focuses on topics that are highly relevant to the practice of leadership while also being grounded in sound academic research. </w:t>
            </w:r>
            <w:r w:rsidR="00A45394" w:rsidRPr="00FD47E8">
              <w:rPr>
                <w:rFonts w:cs="Arial"/>
              </w:rPr>
              <w:t>A substantial portion of learning in this module happens outside the classroom</w:t>
            </w:r>
            <w:r w:rsidRPr="00FD47E8">
              <w:rPr>
                <w:rFonts w:cs="Arial"/>
                <w:szCs w:val="20"/>
              </w:rPr>
              <w:t>. Students are expected to engage carefully with the required textbook and assigned readings in order to develop a comprehensive background in the study</w:t>
            </w:r>
            <w:r w:rsidR="00135957" w:rsidRPr="00FD47E8">
              <w:rPr>
                <w:rFonts w:cs="Arial"/>
                <w:szCs w:val="20"/>
              </w:rPr>
              <w:t xml:space="preserve"> and practice</w:t>
            </w:r>
            <w:r w:rsidRPr="00FD47E8">
              <w:rPr>
                <w:rFonts w:cs="Arial"/>
                <w:szCs w:val="20"/>
              </w:rPr>
              <w:t xml:space="preserve"> of leadership. Class time will focus on clarifying and elaborating on complex ideas, frameworks, and applications, and on helping students connect leadership research to real organizational situations.</w:t>
            </w:r>
          </w:p>
        </w:tc>
      </w:tr>
    </w:tbl>
    <w:p w14:paraId="0DFBB27F" w14:textId="77777777" w:rsidR="008D7343" w:rsidRDefault="008D7343" w:rsidP="008D7343">
      <w:pPr>
        <w:pStyle w:val="Subheading"/>
        <w:spacing w:before="0" w:after="0" w:line="240" w:lineRule="auto"/>
        <w:contextualSpacing/>
        <w:rPr>
          <w:rFonts w:cs="Arial"/>
        </w:rPr>
      </w:pPr>
    </w:p>
    <w:p w14:paraId="7087C7F6" w14:textId="432F7080" w:rsidR="0051410F" w:rsidRPr="00FD47E8" w:rsidRDefault="00C663C6" w:rsidP="008D7343">
      <w:pPr>
        <w:pStyle w:val="Subheading"/>
        <w:spacing w:before="0" w:after="0" w:line="240" w:lineRule="auto"/>
        <w:contextualSpacing/>
        <w:rPr>
          <w:rFonts w:cs="Arial"/>
        </w:rPr>
      </w:pPr>
      <w:r w:rsidRPr="00FD47E8">
        <w:rPr>
          <w:rFonts w:cs="Arial"/>
        </w:rPr>
        <w:t>Practical Application</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7568F136" w14:textId="77777777">
        <w:trPr>
          <w:cantSplit/>
          <w:jc w:val="center"/>
        </w:trPr>
        <w:tc>
          <w:tcPr>
            <w:tcW w:w="10080" w:type="dxa"/>
            <w:shd w:val="clear" w:color="auto" w:fill="F7F7F7"/>
          </w:tcPr>
          <w:p w14:paraId="240F2E1E" w14:textId="1EB4563F" w:rsidR="0051410F" w:rsidRPr="00FD47E8" w:rsidRDefault="00D32AFB" w:rsidP="008D7343">
            <w:pPr>
              <w:spacing w:after="0" w:line="240" w:lineRule="auto"/>
              <w:contextualSpacing/>
              <w:rPr>
                <w:rFonts w:cs="Arial"/>
                <w:szCs w:val="20"/>
              </w:rPr>
            </w:pPr>
            <w:r w:rsidRPr="00FD47E8">
              <w:rPr>
                <w:rFonts w:cs="Arial"/>
                <w:szCs w:val="20"/>
              </w:rPr>
              <w:t xml:space="preserve">Practical application is built into the module through both class discussion and the group project. In each class, students will consider how leadership </w:t>
            </w:r>
            <w:r w:rsidR="003D4509" w:rsidRPr="00FD47E8">
              <w:rPr>
                <w:rFonts w:cs="Arial"/>
                <w:szCs w:val="20"/>
              </w:rPr>
              <w:t>theory</w:t>
            </w:r>
            <w:r w:rsidRPr="00FD47E8">
              <w:rPr>
                <w:rFonts w:cs="Arial"/>
                <w:szCs w:val="20"/>
              </w:rPr>
              <w:t xml:space="preserve"> can be applied to real organizational situations. The Leadership Case Analysis group project gives students a structured opportunity to apply leadership theory to practice by </w:t>
            </w:r>
            <w:proofErr w:type="spellStart"/>
            <w:r w:rsidRPr="00FD47E8">
              <w:rPr>
                <w:rFonts w:cs="Arial"/>
                <w:szCs w:val="20"/>
              </w:rPr>
              <w:t>analysing</w:t>
            </w:r>
            <w:proofErr w:type="spellEnd"/>
            <w:r w:rsidRPr="00FD47E8">
              <w:rPr>
                <w:rFonts w:cs="Arial"/>
                <w:szCs w:val="20"/>
              </w:rPr>
              <w:t xml:space="preserve"> one case from three different theoretical perspectives. The module focuses on how evidence-based leadership concepts can be used to understand and </w:t>
            </w:r>
            <w:proofErr w:type="spellStart"/>
            <w:r w:rsidRPr="00FD47E8">
              <w:rPr>
                <w:rFonts w:cs="Arial"/>
                <w:szCs w:val="20"/>
              </w:rPr>
              <w:t>analyse</w:t>
            </w:r>
            <w:proofErr w:type="spellEnd"/>
            <w:r w:rsidRPr="00FD47E8">
              <w:rPr>
                <w:rFonts w:cs="Arial"/>
                <w:szCs w:val="20"/>
              </w:rPr>
              <w:t xml:space="preserve"> practice.</w:t>
            </w:r>
          </w:p>
        </w:tc>
      </w:tr>
    </w:tbl>
    <w:p w14:paraId="4A0540B6" w14:textId="77777777" w:rsidR="008D7343" w:rsidRDefault="008D7343" w:rsidP="008D7343">
      <w:pPr>
        <w:pStyle w:val="Subheading"/>
        <w:spacing w:before="0" w:after="0" w:line="240" w:lineRule="auto"/>
        <w:contextualSpacing/>
        <w:rPr>
          <w:rFonts w:cs="Arial"/>
        </w:rPr>
      </w:pPr>
    </w:p>
    <w:p w14:paraId="7A9BEA9C" w14:textId="0BFB7D5E" w:rsidR="0051410F" w:rsidRPr="00FD47E8" w:rsidRDefault="002C7AAE" w:rsidP="008D7343">
      <w:pPr>
        <w:pStyle w:val="Subheading"/>
        <w:spacing w:before="0" w:after="0" w:line="240" w:lineRule="auto"/>
        <w:contextualSpacing/>
        <w:rPr>
          <w:rFonts w:cs="Arial"/>
        </w:rPr>
      </w:pPr>
      <w:r w:rsidRPr="00FD47E8">
        <w:rPr>
          <w:rFonts w:cs="Arial"/>
        </w:rPr>
        <w:t>Discussion and Interaction</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55504BD8" w14:textId="77777777">
        <w:trPr>
          <w:cantSplit/>
          <w:jc w:val="center"/>
        </w:trPr>
        <w:tc>
          <w:tcPr>
            <w:tcW w:w="10080" w:type="dxa"/>
            <w:shd w:val="clear" w:color="auto" w:fill="F7F7F7"/>
          </w:tcPr>
          <w:p w14:paraId="4A846CD7" w14:textId="3C330F13" w:rsidR="0051410F" w:rsidRPr="00FD47E8" w:rsidRDefault="00B23C9C" w:rsidP="008D7343">
            <w:pPr>
              <w:spacing w:after="0" w:line="240" w:lineRule="auto"/>
              <w:contextualSpacing/>
              <w:rPr>
                <w:rFonts w:cs="Arial"/>
                <w:szCs w:val="20"/>
              </w:rPr>
            </w:pPr>
            <w:r w:rsidRPr="00FD47E8">
              <w:rPr>
                <w:rFonts w:cs="Arial"/>
                <w:szCs w:val="20"/>
              </w:rPr>
              <w:t>Students are expected to attend class and participate actively in discussion. Class time will be used to discuss the assigned materials, work through cases, exchange perspectives, and clarify key ideas in order to enhance collective learning. Students should read the required chapters in advance of each class so that they are prepared to engage with the material, ask informed questions, and identify areas where they need further clarification. Keeping up with the weekly readings is especially important because the module covers a broad range of leadership research. Students who wait until the end of the module to complete the readings are unlikely to have enough time to absorb the material fully or prepare effectively for the final exam.</w:t>
            </w:r>
          </w:p>
        </w:tc>
      </w:tr>
    </w:tbl>
    <w:p w14:paraId="2B5F2FF2" w14:textId="77777777" w:rsidR="008D7343" w:rsidRDefault="008D7343" w:rsidP="008D7343">
      <w:pPr>
        <w:pStyle w:val="SectionHeading"/>
        <w:spacing w:before="0" w:after="0" w:line="240" w:lineRule="auto"/>
        <w:contextualSpacing/>
        <w:rPr>
          <w:rFonts w:cs="Arial"/>
          <w:color w:val="auto"/>
        </w:rPr>
      </w:pPr>
    </w:p>
    <w:p w14:paraId="047A9236" w14:textId="46905D7C" w:rsidR="0051410F" w:rsidRPr="00FD47E8" w:rsidRDefault="00C663C6" w:rsidP="008D7343">
      <w:pPr>
        <w:pStyle w:val="SectionHeading"/>
        <w:spacing w:before="0" w:after="0" w:line="240" w:lineRule="auto"/>
        <w:contextualSpacing/>
        <w:rPr>
          <w:rFonts w:cs="Arial"/>
          <w:color w:val="auto"/>
        </w:rPr>
      </w:pPr>
      <w:r w:rsidRPr="00FD47E8">
        <w:rPr>
          <w:rFonts w:cs="Arial"/>
          <w:color w:val="auto"/>
        </w:rPr>
        <w:t>LEARNING OUTCOMES</w:t>
      </w:r>
    </w:p>
    <w:p w14:paraId="280F2CB2" w14:textId="77777777" w:rsidR="008D7343" w:rsidRDefault="008D7343" w:rsidP="008D7343">
      <w:pPr>
        <w:spacing w:after="0" w:line="240" w:lineRule="auto"/>
        <w:contextualSpacing/>
        <w:rPr>
          <w:rFonts w:cs="Arial"/>
        </w:rPr>
      </w:pPr>
    </w:p>
    <w:p w14:paraId="77C10BA5" w14:textId="7DBF1ED7" w:rsidR="0051410F" w:rsidRPr="00FD47E8" w:rsidRDefault="00C663C6" w:rsidP="008D7343">
      <w:pPr>
        <w:spacing w:after="0" w:line="240" w:lineRule="auto"/>
        <w:contextualSpacing/>
        <w:rPr>
          <w:rFonts w:cs="Arial"/>
        </w:rPr>
      </w:pPr>
      <w:r w:rsidRPr="00FD47E8">
        <w:rPr>
          <w:rFonts w:cs="Arial"/>
        </w:rPr>
        <w:t>Having successfully completed this module, students should be able to:</w:t>
      </w:r>
    </w:p>
    <w:p w14:paraId="2489CA3D" w14:textId="4D2C8084" w:rsidR="00FC3F90" w:rsidRPr="00FD47E8" w:rsidRDefault="00FC3F90" w:rsidP="008D7343">
      <w:pPr>
        <w:pStyle w:val="ListBullet"/>
        <w:numPr>
          <w:ilvl w:val="0"/>
          <w:numId w:val="14"/>
        </w:numPr>
        <w:spacing w:after="0" w:line="240" w:lineRule="auto"/>
        <w:rPr>
          <w:rFonts w:cs="Arial"/>
        </w:rPr>
      </w:pPr>
      <w:r w:rsidRPr="00FD47E8">
        <w:rPr>
          <w:rFonts w:cs="Arial"/>
        </w:rPr>
        <w:t xml:space="preserve">Explain, compare, and contrast major theories in leadership. </w:t>
      </w:r>
    </w:p>
    <w:p w14:paraId="50F6AC63" w14:textId="54291F10" w:rsidR="00FC3F90" w:rsidRPr="00FD47E8" w:rsidRDefault="00FC3F90" w:rsidP="008D7343">
      <w:pPr>
        <w:pStyle w:val="ListBullet"/>
        <w:numPr>
          <w:ilvl w:val="0"/>
          <w:numId w:val="14"/>
        </w:numPr>
        <w:spacing w:after="0" w:line="240" w:lineRule="auto"/>
        <w:rPr>
          <w:rFonts w:cs="Arial"/>
        </w:rPr>
      </w:pPr>
      <w:r w:rsidRPr="00FD47E8">
        <w:rPr>
          <w:rFonts w:cs="Arial"/>
        </w:rPr>
        <w:t xml:space="preserve">Analyze leadership situations by applying multiple theoretical perspectives to real-world cases. </w:t>
      </w:r>
    </w:p>
    <w:p w14:paraId="22402284" w14:textId="48998460" w:rsidR="00FC3F90" w:rsidRPr="00FD47E8" w:rsidRDefault="00FC3F90" w:rsidP="008D7343">
      <w:pPr>
        <w:pStyle w:val="ListBullet"/>
        <w:numPr>
          <w:ilvl w:val="0"/>
          <w:numId w:val="14"/>
        </w:numPr>
        <w:spacing w:after="0" w:line="240" w:lineRule="auto"/>
        <w:rPr>
          <w:rFonts w:cs="Arial"/>
        </w:rPr>
      </w:pPr>
      <w:r w:rsidRPr="00FD47E8">
        <w:rPr>
          <w:rFonts w:cs="Arial"/>
        </w:rPr>
        <w:t xml:space="preserve">Evaluate the strengths and limitations of leadership theories and evidence, including the extent to which different theories are useful for explaining complex organizational challenges. </w:t>
      </w:r>
    </w:p>
    <w:p w14:paraId="0A69D268" w14:textId="77777777" w:rsidR="00EC250E" w:rsidRPr="00FD47E8" w:rsidRDefault="00EC250E" w:rsidP="008D7343">
      <w:pPr>
        <w:pStyle w:val="ListBullet"/>
        <w:numPr>
          <w:ilvl w:val="0"/>
          <w:numId w:val="14"/>
        </w:numPr>
        <w:spacing w:after="0" w:line="240" w:lineRule="auto"/>
        <w:rPr>
          <w:rFonts w:cs="Arial"/>
        </w:rPr>
      </w:pPr>
      <w:proofErr w:type="spellStart"/>
      <w:r w:rsidRPr="00FD47E8">
        <w:rPr>
          <w:rFonts w:cs="Arial"/>
        </w:rPr>
        <w:t>Analyse</w:t>
      </w:r>
      <w:proofErr w:type="spellEnd"/>
      <w:r w:rsidRPr="00FD47E8">
        <w:rPr>
          <w:rFonts w:cs="Arial"/>
        </w:rPr>
        <w:t xml:space="preserve"> leadership challenges involved in organizational change, including resistance, vision, implementation, learning, and stakeholder alignment.</w:t>
      </w:r>
    </w:p>
    <w:p w14:paraId="5C359365" w14:textId="78DE7CE2" w:rsidR="004432EE" w:rsidRPr="00FD47E8" w:rsidRDefault="00FC3F90" w:rsidP="008D7343">
      <w:pPr>
        <w:pStyle w:val="ListBullet"/>
        <w:numPr>
          <w:ilvl w:val="0"/>
          <w:numId w:val="14"/>
        </w:numPr>
        <w:spacing w:after="0" w:line="240" w:lineRule="auto"/>
        <w:rPr>
          <w:rFonts w:cs="Arial"/>
        </w:rPr>
      </w:pPr>
      <w:r w:rsidRPr="00FD47E8">
        <w:rPr>
          <w:rFonts w:cs="Arial"/>
        </w:rPr>
        <w:t xml:space="preserve">Construct evidence-informed arguments about leadership cases, using relevant theories, research findings, and case evidence to support clear analytical conclusions. </w:t>
      </w:r>
    </w:p>
    <w:p w14:paraId="4FD6F6C7" w14:textId="77777777" w:rsidR="008D7343" w:rsidRDefault="008D7343" w:rsidP="008D7343">
      <w:pPr>
        <w:pStyle w:val="SectionHeading"/>
        <w:spacing w:before="0" w:after="0" w:line="240" w:lineRule="auto"/>
        <w:contextualSpacing/>
        <w:rPr>
          <w:rFonts w:cs="Arial"/>
          <w:color w:val="auto"/>
        </w:rPr>
      </w:pPr>
    </w:p>
    <w:p w14:paraId="361CC899" w14:textId="6932759D" w:rsidR="0051410F" w:rsidRPr="00FD47E8" w:rsidRDefault="00C663C6" w:rsidP="008D7343">
      <w:pPr>
        <w:pStyle w:val="SectionHeading"/>
        <w:spacing w:before="0" w:after="0" w:line="240" w:lineRule="auto"/>
        <w:contextualSpacing/>
        <w:rPr>
          <w:rFonts w:cs="Arial"/>
          <w:color w:val="auto"/>
        </w:rPr>
      </w:pPr>
      <w:r w:rsidRPr="00FD47E8">
        <w:rPr>
          <w:rFonts w:cs="Arial"/>
          <w:color w:val="auto"/>
        </w:rPr>
        <w:t>RELATION TO DEGREE</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3BADAAFC" w14:textId="77777777">
        <w:trPr>
          <w:cantSplit/>
          <w:jc w:val="center"/>
        </w:trPr>
        <w:tc>
          <w:tcPr>
            <w:tcW w:w="10080" w:type="dxa"/>
            <w:shd w:val="clear" w:color="auto" w:fill="F7F7F7"/>
          </w:tcPr>
          <w:p w14:paraId="09487498" w14:textId="718D4D08" w:rsidR="0051410F" w:rsidRPr="00FD47E8" w:rsidRDefault="00230A62" w:rsidP="008D7343">
            <w:pPr>
              <w:pStyle w:val="Instruction"/>
              <w:spacing w:after="0" w:line="240" w:lineRule="auto"/>
              <w:contextualSpacing/>
              <w:rPr>
                <w:rFonts w:cs="Arial"/>
                <w:i w:val="0"/>
                <w:color w:val="auto"/>
                <w:sz w:val="20"/>
                <w:szCs w:val="20"/>
              </w:rPr>
            </w:pPr>
            <w:r w:rsidRPr="00FD47E8">
              <w:rPr>
                <w:rFonts w:cs="Arial"/>
                <w:i w:val="0"/>
                <w:color w:val="auto"/>
                <w:sz w:val="20"/>
                <w:szCs w:val="20"/>
              </w:rPr>
              <w:t xml:space="preserve">This module builds on earlier learning in management, organizational </w:t>
            </w:r>
            <w:proofErr w:type="spellStart"/>
            <w:r w:rsidRPr="00FD47E8">
              <w:rPr>
                <w:rFonts w:cs="Arial"/>
                <w:i w:val="0"/>
                <w:color w:val="auto"/>
                <w:sz w:val="20"/>
                <w:szCs w:val="20"/>
              </w:rPr>
              <w:t>behaviour</w:t>
            </w:r>
            <w:proofErr w:type="spellEnd"/>
            <w:r w:rsidRPr="00FD47E8">
              <w:rPr>
                <w:rFonts w:cs="Arial"/>
                <w:i w:val="0"/>
                <w:color w:val="auto"/>
                <w:sz w:val="20"/>
                <w:szCs w:val="20"/>
              </w:rPr>
              <w:t xml:space="preserve">, personal and professional development, and connects with later modules in strategy, organizational analysis, social impact, innovation, management experience, and dissertation work. The module helps students integrate ideas from across the </w:t>
            </w:r>
            <w:proofErr w:type="spellStart"/>
            <w:r w:rsidRPr="00FD47E8">
              <w:rPr>
                <w:rFonts w:cs="Arial"/>
                <w:i w:val="0"/>
                <w:color w:val="auto"/>
                <w:sz w:val="20"/>
                <w:szCs w:val="20"/>
              </w:rPr>
              <w:t>programme</w:t>
            </w:r>
            <w:proofErr w:type="spellEnd"/>
            <w:r w:rsidRPr="00FD47E8">
              <w:rPr>
                <w:rFonts w:cs="Arial"/>
                <w:i w:val="0"/>
                <w:color w:val="auto"/>
                <w:sz w:val="20"/>
                <w:szCs w:val="20"/>
              </w:rPr>
              <w:t xml:space="preserve"> by examining how leadership shapes individual </w:t>
            </w:r>
            <w:proofErr w:type="spellStart"/>
            <w:r w:rsidRPr="00FD47E8">
              <w:rPr>
                <w:rFonts w:cs="Arial"/>
                <w:i w:val="0"/>
                <w:color w:val="auto"/>
                <w:sz w:val="20"/>
                <w:szCs w:val="20"/>
              </w:rPr>
              <w:t>behaviour</w:t>
            </w:r>
            <w:proofErr w:type="spellEnd"/>
            <w:r w:rsidRPr="00FD47E8">
              <w:rPr>
                <w:rFonts w:cs="Arial"/>
                <w:i w:val="0"/>
                <w:color w:val="auto"/>
                <w:sz w:val="20"/>
                <w:szCs w:val="20"/>
              </w:rPr>
              <w:t xml:space="preserve">, group dynamics, </w:t>
            </w:r>
            <w:r w:rsidR="00FD47E8" w:rsidRPr="00FD47E8">
              <w:rPr>
                <w:rFonts w:cs="Arial"/>
                <w:i w:val="0"/>
                <w:color w:val="auto"/>
                <w:sz w:val="20"/>
                <w:szCs w:val="20"/>
              </w:rPr>
              <w:t xml:space="preserve">and </w:t>
            </w:r>
            <w:r w:rsidRPr="00FD47E8">
              <w:rPr>
                <w:rFonts w:cs="Arial"/>
                <w:i w:val="0"/>
                <w:color w:val="auto"/>
                <w:sz w:val="20"/>
                <w:szCs w:val="20"/>
              </w:rPr>
              <w:t>organizational change. Through the Leadership Case Analysis and final exam, students develop the ability to apply multiple leadership perspectives to real-world cases, evaluate evidence, construct clear arguments, and make informed judgements about complex organizational situations. These skills support careers in management, consulting, HRM, organizational development, change management, and social impact.</w:t>
            </w:r>
          </w:p>
        </w:tc>
      </w:tr>
    </w:tbl>
    <w:p w14:paraId="36241CF2" w14:textId="77777777" w:rsidR="00F46D3E" w:rsidRPr="00FD47E8" w:rsidRDefault="00F46D3E" w:rsidP="008D7343">
      <w:pPr>
        <w:pStyle w:val="SectionHeading"/>
        <w:spacing w:before="0" w:after="0" w:line="240" w:lineRule="auto"/>
        <w:contextualSpacing/>
        <w:rPr>
          <w:rFonts w:cs="Arial"/>
          <w:color w:val="auto"/>
        </w:rPr>
      </w:pPr>
    </w:p>
    <w:p w14:paraId="556961E1" w14:textId="77777777" w:rsidR="00F46D3E" w:rsidRPr="00FD47E8" w:rsidRDefault="00F46D3E" w:rsidP="008D7343">
      <w:pPr>
        <w:spacing w:after="0" w:line="240" w:lineRule="auto"/>
        <w:contextualSpacing/>
        <w:rPr>
          <w:rFonts w:cs="Arial"/>
          <w:b/>
          <w:sz w:val="24"/>
        </w:rPr>
      </w:pPr>
      <w:r w:rsidRPr="00FD47E8">
        <w:rPr>
          <w:rFonts w:cs="Arial"/>
        </w:rPr>
        <w:br w:type="page"/>
      </w:r>
    </w:p>
    <w:p w14:paraId="10854F21" w14:textId="22774A48" w:rsidR="0051410F" w:rsidRPr="00FD47E8" w:rsidRDefault="00C663C6" w:rsidP="008D7343">
      <w:pPr>
        <w:pStyle w:val="SectionHeading"/>
        <w:spacing w:before="0" w:after="0" w:line="240" w:lineRule="auto"/>
        <w:contextualSpacing/>
        <w:rPr>
          <w:rFonts w:cs="Arial"/>
          <w:color w:val="auto"/>
        </w:rPr>
      </w:pPr>
      <w:r w:rsidRPr="00FD47E8">
        <w:rPr>
          <w:rFonts w:cs="Arial"/>
          <w:color w:val="auto"/>
        </w:rPr>
        <w:lastRenderedPageBreak/>
        <w:t>WORKLOAD</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035"/>
        <w:gridCol w:w="5035"/>
      </w:tblGrid>
      <w:tr w:rsidR="0051410F" w:rsidRPr="00FD47E8" w14:paraId="52367488" w14:textId="77777777" w:rsidTr="00821080">
        <w:trPr>
          <w:cantSplit/>
          <w:jc w:val="center"/>
        </w:trPr>
        <w:tc>
          <w:tcPr>
            <w:tcW w:w="5035" w:type="dxa"/>
            <w:shd w:val="clear" w:color="auto" w:fill="D9EAF7"/>
          </w:tcPr>
          <w:p w14:paraId="653966B3" w14:textId="77777777" w:rsidR="0051410F" w:rsidRPr="00FD47E8" w:rsidRDefault="00C663C6" w:rsidP="008D7343">
            <w:pPr>
              <w:spacing w:after="0" w:line="240" w:lineRule="auto"/>
              <w:contextualSpacing/>
              <w:rPr>
                <w:rFonts w:cs="Arial"/>
              </w:rPr>
            </w:pPr>
            <w:r w:rsidRPr="00FD47E8">
              <w:rPr>
                <w:rFonts w:cs="Arial"/>
                <w:b/>
                <w:sz w:val="18"/>
              </w:rPr>
              <w:t>Content</w:t>
            </w:r>
          </w:p>
        </w:tc>
        <w:tc>
          <w:tcPr>
            <w:tcW w:w="5035" w:type="dxa"/>
            <w:shd w:val="clear" w:color="auto" w:fill="D9EAF7"/>
          </w:tcPr>
          <w:p w14:paraId="6625C654" w14:textId="77777777" w:rsidR="0051410F" w:rsidRPr="00FD47E8" w:rsidRDefault="00C663C6" w:rsidP="008D7343">
            <w:pPr>
              <w:spacing w:after="0" w:line="240" w:lineRule="auto"/>
              <w:contextualSpacing/>
              <w:rPr>
                <w:rFonts w:cs="Arial"/>
              </w:rPr>
            </w:pPr>
            <w:r w:rsidRPr="00FD47E8">
              <w:rPr>
                <w:rFonts w:cs="Arial"/>
                <w:b/>
                <w:sz w:val="18"/>
              </w:rPr>
              <w:t>Indicative Number of Hours</w:t>
            </w:r>
          </w:p>
        </w:tc>
      </w:tr>
      <w:tr w:rsidR="0051410F" w:rsidRPr="00FD47E8" w14:paraId="4431E765" w14:textId="77777777" w:rsidTr="00821080">
        <w:trPr>
          <w:cantSplit/>
          <w:jc w:val="center"/>
        </w:trPr>
        <w:tc>
          <w:tcPr>
            <w:tcW w:w="5035" w:type="dxa"/>
          </w:tcPr>
          <w:p w14:paraId="0E217474" w14:textId="5405D964" w:rsidR="0051410F" w:rsidRPr="00FD47E8" w:rsidRDefault="00C663C6" w:rsidP="008D7343">
            <w:pPr>
              <w:spacing w:after="0" w:line="240" w:lineRule="auto"/>
              <w:contextualSpacing/>
              <w:rPr>
                <w:rFonts w:cs="Arial"/>
              </w:rPr>
            </w:pPr>
            <w:r w:rsidRPr="00FD47E8">
              <w:rPr>
                <w:rFonts w:cs="Arial"/>
                <w:sz w:val="18"/>
              </w:rPr>
              <w:t>Lecturing hours</w:t>
            </w:r>
          </w:p>
        </w:tc>
        <w:tc>
          <w:tcPr>
            <w:tcW w:w="5035" w:type="dxa"/>
          </w:tcPr>
          <w:p w14:paraId="347D40F6" w14:textId="19BA904A" w:rsidR="0051410F" w:rsidRPr="00FD47E8" w:rsidRDefault="00821080" w:rsidP="008D7343">
            <w:pPr>
              <w:spacing w:after="0" w:line="240" w:lineRule="auto"/>
              <w:contextualSpacing/>
              <w:jc w:val="right"/>
              <w:rPr>
                <w:rFonts w:cs="Arial"/>
              </w:rPr>
            </w:pPr>
            <w:r w:rsidRPr="00FD47E8">
              <w:rPr>
                <w:rFonts w:cs="Arial"/>
                <w:sz w:val="18"/>
              </w:rPr>
              <w:t>22</w:t>
            </w:r>
          </w:p>
        </w:tc>
      </w:tr>
      <w:tr w:rsidR="0051410F" w:rsidRPr="00FD47E8" w14:paraId="39115CDA" w14:textId="77777777" w:rsidTr="00821080">
        <w:trPr>
          <w:cantSplit/>
          <w:jc w:val="center"/>
        </w:trPr>
        <w:tc>
          <w:tcPr>
            <w:tcW w:w="5035" w:type="dxa"/>
          </w:tcPr>
          <w:p w14:paraId="4986F937" w14:textId="6FF89541" w:rsidR="0051410F" w:rsidRPr="00FD47E8" w:rsidRDefault="00C663C6" w:rsidP="008D7343">
            <w:pPr>
              <w:spacing w:after="0" w:line="240" w:lineRule="auto"/>
              <w:contextualSpacing/>
              <w:rPr>
                <w:rFonts w:cs="Arial"/>
              </w:rPr>
            </w:pPr>
            <w:r w:rsidRPr="00FD47E8">
              <w:rPr>
                <w:rFonts w:cs="Arial"/>
                <w:sz w:val="18"/>
              </w:rPr>
              <w:t>Preparation and independent learning</w:t>
            </w:r>
            <w:r w:rsidR="003D4509" w:rsidRPr="00FD47E8">
              <w:rPr>
                <w:rFonts w:cs="Arial"/>
                <w:sz w:val="18"/>
              </w:rPr>
              <w:t xml:space="preserve"> (including studying for the exam)</w:t>
            </w:r>
          </w:p>
        </w:tc>
        <w:tc>
          <w:tcPr>
            <w:tcW w:w="5035" w:type="dxa"/>
          </w:tcPr>
          <w:p w14:paraId="5A137F8E" w14:textId="2B9659EE" w:rsidR="0051410F" w:rsidRPr="00FD47E8" w:rsidRDefault="004432EE" w:rsidP="008D7343">
            <w:pPr>
              <w:spacing w:after="0" w:line="240" w:lineRule="auto"/>
              <w:contextualSpacing/>
              <w:jc w:val="right"/>
              <w:rPr>
                <w:rFonts w:cs="Arial"/>
                <w:sz w:val="18"/>
              </w:rPr>
            </w:pPr>
            <w:r w:rsidRPr="00FD47E8">
              <w:rPr>
                <w:rFonts w:cs="Arial"/>
                <w:sz w:val="18"/>
              </w:rPr>
              <w:t>7</w:t>
            </w:r>
            <w:r w:rsidR="00821080" w:rsidRPr="00FD47E8">
              <w:rPr>
                <w:rFonts w:cs="Arial"/>
                <w:sz w:val="18"/>
              </w:rPr>
              <w:t>0</w:t>
            </w:r>
          </w:p>
        </w:tc>
      </w:tr>
      <w:tr w:rsidR="0051410F" w:rsidRPr="00FD47E8" w14:paraId="6B28F93E" w14:textId="77777777" w:rsidTr="00821080">
        <w:trPr>
          <w:cantSplit/>
          <w:jc w:val="center"/>
        </w:trPr>
        <w:tc>
          <w:tcPr>
            <w:tcW w:w="5035" w:type="dxa"/>
          </w:tcPr>
          <w:p w14:paraId="16E748FB" w14:textId="4698E418" w:rsidR="0051410F" w:rsidRPr="00FD47E8" w:rsidRDefault="00C663C6" w:rsidP="008D7343">
            <w:pPr>
              <w:spacing w:after="0" w:line="240" w:lineRule="auto"/>
              <w:contextualSpacing/>
              <w:rPr>
                <w:rFonts w:cs="Arial"/>
              </w:rPr>
            </w:pPr>
            <w:r w:rsidRPr="00FD47E8">
              <w:rPr>
                <w:rFonts w:cs="Arial"/>
                <w:sz w:val="18"/>
              </w:rPr>
              <w:t xml:space="preserve">Group assignment </w:t>
            </w:r>
          </w:p>
        </w:tc>
        <w:tc>
          <w:tcPr>
            <w:tcW w:w="5035" w:type="dxa"/>
          </w:tcPr>
          <w:p w14:paraId="41E78D6A" w14:textId="48726EC4" w:rsidR="0051410F" w:rsidRPr="00FD47E8" w:rsidRDefault="004432EE" w:rsidP="008D7343">
            <w:pPr>
              <w:spacing w:after="0" w:line="240" w:lineRule="auto"/>
              <w:contextualSpacing/>
              <w:jc w:val="right"/>
              <w:rPr>
                <w:rFonts w:cs="Arial"/>
              </w:rPr>
            </w:pPr>
            <w:r w:rsidRPr="00FD47E8">
              <w:rPr>
                <w:rFonts w:cs="Arial"/>
                <w:sz w:val="18"/>
              </w:rPr>
              <w:t>2</w:t>
            </w:r>
            <w:r w:rsidR="00821080" w:rsidRPr="00FD47E8">
              <w:rPr>
                <w:rFonts w:cs="Arial"/>
                <w:sz w:val="18"/>
              </w:rPr>
              <w:t>8</w:t>
            </w:r>
          </w:p>
        </w:tc>
      </w:tr>
      <w:tr w:rsidR="0051410F" w:rsidRPr="00FD47E8" w14:paraId="00A4593A" w14:textId="77777777" w:rsidTr="00821080">
        <w:trPr>
          <w:cantSplit/>
          <w:jc w:val="center"/>
        </w:trPr>
        <w:tc>
          <w:tcPr>
            <w:tcW w:w="5035" w:type="dxa"/>
          </w:tcPr>
          <w:p w14:paraId="62F84E99" w14:textId="77777777" w:rsidR="0051410F" w:rsidRPr="00FD47E8" w:rsidRDefault="00C663C6" w:rsidP="008D7343">
            <w:pPr>
              <w:spacing w:after="0" w:line="240" w:lineRule="auto"/>
              <w:contextualSpacing/>
              <w:rPr>
                <w:rFonts w:cs="Arial"/>
              </w:rPr>
            </w:pPr>
            <w:r w:rsidRPr="00FD47E8">
              <w:rPr>
                <w:rFonts w:cs="Arial"/>
                <w:b/>
                <w:sz w:val="18"/>
              </w:rPr>
              <w:t>Total</w:t>
            </w:r>
          </w:p>
        </w:tc>
        <w:tc>
          <w:tcPr>
            <w:tcW w:w="5035" w:type="dxa"/>
          </w:tcPr>
          <w:p w14:paraId="6AEC2716" w14:textId="795B820B" w:rsidR="0051410F" w:rsidRPr="00FD47E8" w:rsidRDefault="00821080" w:rsidP="008D7343">
            <w:pPr>
              <w:spacing w:after="0" w:line="240" w:lineRule="auto"/>
              <w:contextualSpacing/>
              <w:jc w:val="right"/>
              <w:rPr>
                <w:rFonts w:cs="Arial"/>
              </w:rPr>
            </w:pPr>
            <w:r w:rsidRPr="00FD47E8">
              <w:rPr>
                <w:rFonts w:cs="Arial"/>
                <w:b/>
                <w:sz w:val="18"/>
              </w:rPr>
              <w:t>120</w:t>
            </w:r>
          </w:p>
        </w:tc>
      </w:tr>
    </w:tbl>
    <w:p w14:paraId="3F2BAD3F" w14:textId="77777777" w:rsidR="008D7343" w:rsidRDefault="008D7343" w:rsidP="008D7343">
      <w:pPr>
        <w:pStyle w:val="SectionHeading"/>
        <w:spacing w:before="0" w:after="0" w:line="240" w:lineRule="auto"/>
        <w:contextualSpacing/>
        <w:rPr>
          <w:rFonts w:cs="Arial"/>
          <w:color w:val="auto"/>
        </w:rPr>
      </w:pPr>
    </w:p>
    <w:p w14:paraId="5D4178BD" w14:textId="04C61BF8" w:rsidR="0051410F" w:rsidRPr="00FD47E8" w:rsidRDefault="00C663C6" w:rsidP="008D7343">
      <w:pPr>
        <w:pStyle w:val="SectionHeading"/>
        <w:spacing w:before="0" w:after="0" w:line="240" w:lineRule="auto"/>
        <w:contextualSpacing/>
        <w:rPr>
          <w:rFonts w:cs="Arial"/>
          <w:color w:val="auto"/>
        </w:rPr>
      </w:pPr>
      <w:r w:rsidRPr="00FD47E8">
        <w:rPr>
          <w:rFonts w:cs="Arial"/>
          <w:color w:val="auto"/>
        </w:rPr>
        <w:t>TEXTBOOKS AND REQUIRED RESOURCES</w:t>
      </w:r>
    </w:p>
    <w:p w14:paraId="28EE8E86" w14:textId="77777777" w:rsidR="008D7343" w:rsidRDefault="008D7343" w:rsidP="008D7343">
      <w:pPr>
        <w:pStyle w:val="Subheading"/>
        <w:spacing w:before="0" w:after="0" w:line="240" w:lineRule="auto"/>
        <w:contextualSpacing/>
        <w:rPr>
          <w:rFonts w:cs="Arial"/>
        </w:rPr>
      </w:pPr>
    </w:p>
    <w:p w14:paraId="33C1C3D3" w14:textId="09A20D8D" w:rsidR="0051410F" w:rsidRPr="00FD47E8" w:rsidRDefault="00C663C6" w:rsidP="008D7343">
      <w:pPr>
        <w:pStyle w:val="Subheading"/>
        <w:spacing w:before="0" w:after="0" w:line="240" w:lineRule="auto"/>
        <w:contextualSpacing/>
        <w:rPr>
          <w:rFonts w:cs="Arial"/>
        </w:rPr>
      </w:pPr>
      <w:r w:rsidRPr="00FD47E8">
        <w:rPr>
          <w:rFonts w:cs="Arial"/>
        </w:rPr>
        <w:t>Required Core Textbook</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42109C5C" w14:textId="77777777">
        <w:trPr>
          <w:cantSplit/>
          <w:jc w:val="center"/>
        </w:trPr>
        <w:tc>
          <w:tcPr>
            <w:tcW w:w="10080" w:type="dxa"/>
            <w:shd w:val="clear" w:color="auto" w:fill="F7F7F7"/>
          </w:tcPr>
          <w:p w14:paraId="2B825556" w14:textId="7C257CB8" w:rsidR="00135957" w:rsidRPr="00FD47E8" w:rsidRDefault="00135957" w:rsidP="008D7343">
            <w:pPr>
              <w:spacing w:after="0" w:line="240" w:lineRule="auto"/>
              <w:contextualSpacing/>
              <w:rPr>
                <w:rFonts w:cs="Arial"/>
                <w:color w:val="212121"/>
              </w:rPr>
            </w:pPr>
            <w:r w:rsidRPr="00FD47E8">
              <w:rPr>
                <w:rFonts w:cs="Arial"/>
                <w:color w:val="000000"/>
              </w:rPr>
              <w:t>Northouse, P. (2026). Leadership: Theory and Practice. 10th</w:t>
            </w:r>
            <w:r w:rsidRPr="00FD47E8">
              <w:rPr>
                <w:rFonts w:cs="Arial"/>
                <w:color w:val="212121"/>
              </w:rPr>
              <w:t> Edition. International Student Edition. Sage. </w:t>
            </w:r>
          </w:p>
        </w:tc>
      </w:tr>
    </w:tbl>
    <w:p w14:paraId="0C528238" w14:textId="77777777" w:rsidR="008D7343" w:rsidRDefault="008D7343" w:rsidP="008D7343">
      <w:pPr>
        <w:pStyle w:val="Subheading"/>
        <w:spacing w:before="0" w:after="0" w:line="240" w:lineRule="auto"/>
        <w:contextualSpacing/>
        <w:rPr>
          <w:rFonts w:cs="Arial"/>
        </w:rPr>
      </w:pPr>
    </w:p>
    <w:p w14:paraId="124B4047" w14:textId="62DE7C46" w:rsidR="0051410F" w:rsidRPr="00FD47E8" w:rsidRDefault="00C663C6" w:rsidP="008D7343">
      <w:pPr>
        <w:pStyle w:val="Subheading"/>
        <w:spacing w:before="0" w:after="0" w:line="240" w:lineRule="auto"/>
        <w:contextualSpacing/>
        <w:rPr>
          <w:rFonts w:cs="Arial"/>
        </w:rPr>
      </w:pPr>
      <w:r w:rsidRPr="00FD47E8">
        <w:rPr>
          <w:rFonts w:cs="Arial"/>
        </w:rPr>
        <w:t>Recommended Textbooks</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17748559" w14:textId="77777777">
        <w:trPr>
          <w:cantSplit/>
          <w:jc w:val="center"/>
        </w:trPr>
        <w:tc>
          <w:tcPr>
            <w:tcW w:w="10080" w:type="dxa"/>
            <w:shd w:val="clear" w:color="auto" w:fill="F7F7F7"/>
          </w:tcPr>
          <w:p w14:paraId="6BEDA8E0" w14:textId="65AF51CB" w:rsidR="0051410F" w:rsidRPr="00FD47E8" w:rsidRDefault="0063312A" w:rsidP="008D7343">
            <w:pPr>
              <w:spacing w:after="0" w:line="240" w:lineRule="auto"/>
              <w:contextualSpacing/>
              <w:rPr>
                <w:rFonts w:cs="Arial"/>
                <w:sz w:val="18"/>
              </w:rPr>
            </w:pPr>
            <w:r w:rsidRPr="00FD47E8">
              <w:rPr>
                <w:rFonts w:cs="Arial"/>
                <w:color w:val="000000"/>
              </w:rPr>
              <w:t>Daft, R. L. (2023). The leadership experience (8th ed.). Cengage Learning.</w:t>
            </w:r>
          </w:p>
        </w:tc>
      </w:tr>
    </w:tbl>
    <w:p w14:paraId="26E243E5" w14:textId="77777777" w:rsidR="008D7343" w:rsidRDefault="008D7343" w:rsidP="008D7343">
      <w:pPr>
        <w:pStyle w:val="Subheading"/>
        <w:spacing w:before="0" w:after="0" w:line="240" w:lineRule="auto"/>
        <w:contextualSpacing/>
        <w:rPr>
          <w:rFonts w:cs="Arial"/>
        </w:rPr>
      </w:pPr>
    </w:p>
    <w:p w14:paraId="6C2C776E" w14:textId="545A4A53" w:rsidR="0051410F" w:rsidRPr="00FD47E8" w:rsidRDefault="00C663C6" w:rsidP="008D7343">
      <w:pPr>
        <w:pStyle w:val="Subheading"/>
        <w:spacing w:before="0" w:after="0" w:line="240" w:lineRule="auto"/>
        <w:contextualSpacing/>
        <w:rPr>
          <w:rFonts w:cs="Arial"/>
        </w:rPr>
      </w:pPr>
      <w:r w:rsidRPr="00FD47E8">
        <w:rPr>
          <w:rFonts w:cs="Arial"/>
        </w:rPr>
        <w:t>Required Readings</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5C35AEA2" w14:textId="77777777">
        <w:trPr>
          <w:cantSplit/>
          <w:jc w:val="center"/>
        </w:trPr>
        <w:tc>
          <w:tcPr>
            <w:tcW w:w="10080" w:type="dxa"/>
            <w:shd w:val="clear" w:color="auto" w:fill="F7F7F7"/>
          </w:tcPr>
          <w:p w14:paraId="3FA2588F" w14:textId="5FBEA82F" w:rsidR="0063312A" w:rsidRPr="00FD47E8" w:rsidRDefault="0063312A" w:rsidP="008D7343">
            <w:pPr>
              <w:pStyle w:val="ListParagraph"/>
              <w:numPr>
                <w:ilvl w:val="0"/>
                <w:numId w:val="11"/>
              </w:numPr>
              <w:spacing w:after="0" w:line="240" w:lineRule="auto"/>
              <w:rPr>
                <w:rFonts w:cs="Arial"/>
              </w:rPr>
            </w:pPr>
            <w:r w:rsidRPr="00FD47E8">
              <w:rPr>
                <w:rFonts w:cs="Arial"/>
              </w:rPr>
              <w:t xml:space="preserve">Chapters from </w:t>
            </w:r>
            <w:r w:rsidR="00135957" w:rsidRPr="00FD47E8">
              <w:rPr>
                <w:rFonts w:cs="Arial"/>
              </w:rPr>
              <w:t>Northouse</w:t>
            </w:r>
            <w:r w:rsidRPr="00FD47E8">
              <w:rPr>
                <w:rFonts w:cs="Arial"/>
              </w:rPr>
              <w:t xml:space="preserve"> </w:t>
            </w:r>
            <w:r w:rsidR="006D3442" w:rsidRPr="00FD47E8">
              <w:rPr>
                <w:rFonts w:cs="Arial"/>
              </w:rPr>
              <w:t xml:space="preserve">book </w:t>
            </w:r>
            <w:r w:rsidRPr="00FD47E8">
              <w:rPr>
                <w:rFonts w:cs="Arial"/>
              </w:rPr>
              <w:t>are detailed in the table below</w:t>
            </w:r>
            <w:r w:rsidR="00687D04" w:rsidRPr="00FD47E8">
              <w:rPr>
                <w:rFonts w:cs="Arial"/>
              </w:rPr>
              <w:t xml:space="preserve">. </w:t>
            </w:r>
          </w:p>
          <w:p w14:paraId="00EE9779" w14:textId="4D30E755" w:rsidR="0051410F" w:rsidRPr="00FD47E8" w:rsidRDefault="00923CD0" w:rsidP="008D7343">
            <w:pPr>
              <w:pStyle w:val="ListParagraph"/>
              <w:numPr>
                <w:ilvl w:val="0"/>
                <w:numId w:val="11"/>
              </w:numPr>
              <w:spacing w:after="0" w:line="240" w:lineRule="auto"/>
              <w:rPr>
                <w:rFonts w:cs="Arial"/>
              </w:rPr>
            </w:pPr>
            <w:r w:rsidRPr="00FD47E8">
              <w:rPr>
                <w:rFonts w:cs="Arial"/>
              </w:rPr>
              <w:t>For the week on change management</w:t>
            </w:r>
            <w:r w:rsidR="00135957" w:rsidRPr="00FD47E8">
              <w:rPr>
                <w:rFonts w:cs="Arial"/>
              </w:rPr>
              <w:t>, see the associated chapter</w:t>
            </w:r>
            <w:r w:rsidR="005936C1" w:rsidRPr="00FD47E8">
              <w:rPr>
                <w:rFonts w:cs="Arial"/>
              </w:rPr>
              <w:t xml:space="preserve"> on Blackboard</w:t>
            </w:r>
            <w:r w:rsidR="00135957" w:rsidRPr="00FD47E8">
              <w:rPr>
                <w:rFonts w:cs="Arial"/>
              </w:rPr>
              <w:t xml:space="preserve"> in </w:t>
            </w:r>
            <w:r w:rsidR="00135957" w:rsidRPr="00FD47E8">
              <w:rPr>
                <w:rFonts w:cs="Arial"/>
                <w:color w:val="000000"/>
              </w:rPr>
              <w:t>Yukl, G., &amp; Gardner, W. L. (2019). Leadership in organizations (9th ed.). Pearson.</w:t>
            </w:r>
          </w:p>
        </w:tc>
      </w:tr>
    </w:tbl>
    <w:p w14:paraId="0A23906E" w14:textId="77777777" w:rsidR="008D7343" w:rsidRDefault="008D7343" w:rsidP="008D7343">
      <w:pPr>
        <w:pStyle w:val="Subheading"/>
        <w:spacing w:before="0" w:after="0" w:line="240" w:lineRule="auto"/>
        <w:contextualSpacing/>
        <w:rPr>
          <w:rFonts w:cs="Arial"/>
        </w:rPr>
      </w:pPr>
    </w:p>
    <w:p w14:paraId="5675251D" w14:textId="515377B1" w:rsidR="0051410F" w:rsidRPr="00FD47E8" w:rsidRDefault="00C663C6" w:rsidP="008D7343">
      <w:pPr>
        <w:pStyle w:val="Subheading"/>
        <w:spacing w:before="0" w:after="0" w:line="240" w:lineRule="auto"/>
        <w:contextualSpacing/>
        <w:rPr>
          <w:rFonts w:cs="Arial"/>
        </w:rPr>
      </w:pPr>
      <w:r w:rsidRPr="00FD47E8">
        <w:rPr>
          <w:rFonts w:cs="Arial"/>
        </w:rPr>
        <w:t>Recommended Online Resources</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78871ABB" w14:textId="77777777">
        <w:trPr>
          <w:cantSplit/>
          <w:jc w:val="center"/>
        </w:trPr>
        <w:tc>
          <w:tcPr>
            <w:tcW w:w="10080" w:type="dxa"/>
            <w:shd w:val="clear" w:color="auto" w:fill="F7F7F7"/>
          </w:tcPr>
          <w:p w14:paraId="671DAD1D" w14:textId="4AA05311" w:rsidR="0051410F" w:rsidRPr="00FD47E8" w:rsidRDefault="0063312A" w:rsidP="008D7343">
            <w:pPr>
              <w:pStyle w:val="Instruction"/>
              <w:spacing w:after="0" w:line="240" w:lineRule="auto"/>
              <w:contextualSpacing/>
              <w:rPr>
                <w:rFonts w:cs="Arial"/>
                <w:i w:val="0"/>
                <w:color w:val="auto"/>
              </w:rPr>
            </w:pPr>
            <w:r w:rsidRPr="00FD47E8">
              <w:rPr>
                <w:rFonts w:cs="Arial"/>
                <w:i w:val="0"/>
                <w:color w:val="auto"/>
                <w:sz w:val="20"/>
                <w:szCs w:val="20"/>
              </w:rPr>
              <w:t xml:space="preserve">Students are encouraged to engage with practitioner and industry resources that translate leadership and change research into applied tools, frameworks, and current organizational examples. Relevant resources include professional-body guidance from CIPD, change-management frameworks such as </w:t>
            </w:r>
            <w:proofErr w:type="spellStart"/>
            <w:r w:rsidRPr="00FD47E8">
              <w:rPr>
                <w:rFonts w:cs="Arial"/>
                <w:i w:val="0"/>
                <w:color w:val="auto"/>
                <w:sz w:val="20"/>
                <w:szCs w:val="20"/>
              </w:rPr>
              <w:t>Prosci</w:t>
            </w:r>
            <w:proofErr w:type="spellEnd"/>
            <w:r w:rsidRPr="00FD47E8">
              <w:rPr>
                <w:rFonts w:cs="Arial"/>
                <w:i w:val="0"/>
                <w:color w:val="auto"/>
                <w:sz w:val="20"/>
                <w:szCs w:val="20"/>
              </w:rPr>
              <w:t xml:space="preserve"> ADKAR and Kotter’s 8-Step Process, industry insight platforms from McKinsey, BCG, Deloitte, Gartner/Microsoft, and public-sector innovation resources from the OECD Observatory of Public Sector Innovation. These links are found on Blackboard.</w:t>
            </w:r>
            <w:r w:rsidRPr="00FD47E8">
              <w:rPr>
                <w:rFonts w:cs="Arial"/>
                <w:i w:val="0"/>
                <w:color w:val="auto"/>
              </w:rPr>
              <w:t xml:space="preserve"> </w:t>
            </w:r>
          </w:p>
        </w:tc>
      </w:tr>
    </w:tbl>
    <w:p w14:paraId="6FD9C9C6" w14:textId="77777777" w:rsidR="008D7343" w:rsidRDefault="008D7343" w:rsidP="008D7343">
      <w:pPr>
        <w:pStyle w:val="Subheading"/>
        <w:spacing w:before="0" w:after="0" w:line="240" w:lineRule="auto"/>
        <w:contextualSpacing/>
        <w:rPr>
          <w:rFonts w:cs="Arial"/>
        </w:rPr>
      </w:pPr>
    </w:p>
    <w:p w14:paraId="72197908" w14:textId="1168783F" w:rsidR="0051410F" w:rsidRPr="00FD47E8" w:rsidRDefault="00C663C6" w:rsidP="008D7343">
      <w:pPr>
        <w:pStyle w:val="Subheading"/>
        <w:spacing w:before="0" w:after="0" w:line="240" w:lineRule="auto"/>
        <w:contextualSpacing/>
        <w:rPr>
          <w:rFonts w:cs="Arial"/>
        </w:rPr>
      </w:pPr>
      <w:r w:rsidRPr="00FD47E8">
        <w:rPr>
          <w:rFonts w:cs="Arial"/>
        </w:rPr>
        <w:t>General Supplemental Readings</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35F28DFD" w14:textId="77777777">
        <w:trPr>
          <w:cantSplit/>
          <w:jc w:val="center"/>
        </w:trPr>
        <w:tc>
          <w:tcPr>
            <w:tcW w:w="10080" w:type="dxa"/>
            <w:shd w:val="clear" w:color="auto" w:fill="F7F7F7"/>
          </w:tcPr>
          <w:p w14:paraId="564526E9" w14:textId="56CF4D74" w:rsidR="0051410F" w:rsidRPr="00FD47E8" w:rsidRDefault="00C663C6" w:rsidP="008D7343">
            <w:pPr>
              <w:spacing w:after="0" w:line="240" w:lineRule="auto"/>
              <w:contextualSpacing/>
              <w:rPr>
                <w:rFonts w:cs="Arial"/>
                <w:szCs w:val="20"/>
              </w:rPr>
            </w:pPr>
            <w:r w:rsidRPr="00FD47E8">
              <w:rPr>
                <w:rFonts w:cs="Arial"/>
                <w:szCs w:val="20"/>
              </w:rPr>
              <w:t xml:space="preserve">See Blackboard / module learning environment. </w:t>
            </w:r>
          </w:p>
        </w:tc>
      </w:tr>
    </w:tbl>
    <w:p w14:paraId="5D792565" w14:textId="77777777" w:rsidR="008D7343" w:rsidRDefault="008D7343" w:rsidP="008D7343">
      <w:pPr>
        <w:pStyle w:val="SectionHeading"/>
        <w:spacing w:before="0" w:after="0" w:line="240" w:lineRule="auto"/>
        <w:contextualSpacing/>
        <w:rPr>
          <w:rFonts w:cs="Arial"/>
          <w:color w:val="auto"/>
        </w:rPr>
      </w:pPr>
    </w:p>
    <w:p w14:paraId="353DF87B" w14:textId="111E9650" w:rsidR="0051410F" w:rsidRPr="00FD47E8" w:rsidRDefault="00C663C6" w:rsidP="008D7343">
      <w:pPr>
        <w:pStyle w:val="SectionHeading"/>
        <w:spacing w:before="0" w:after="0" w:line="240" w:lineRule="auto"/>
        <w:contextualSpacing/>
        <w:rPr>
          <w:rFonts w:cs="Arial"/>
          <w:color w:val="auto"/>
        </w:rPr>
      </w:pPr>
      <w:r w:rsidRPr="00FD47E8">
        <w:rPr>
          <w:rFonts w:cs="Arial"/>
          <w:color w:val="auto"/>
        </w:rPr>
        <w:t>STUDENT PREPARATION FOR THE MODULE</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2CAC2BDC" w14:textId="77777777">
        <w:trPr>
          <w:cantSplit/>
          <w:jc w:val="center"/>
        </w:trPr>
        <w:tc>
          <w:tcPr>
            <w:tcW w:w="10080" w:type="dxa"/>
            <w:shd w:val="clear" w:color="auto" w:fill="F7F7F7"/>
          </w:tcPr>
          <w:p w14:paraId="25724ACC" w14:textId="755719C8" w:rsidR="001A2BD5" w:rsidRPr="00FD47E8" w:rsidRDefault="00BE6F86" w:rsidP="008D7343">
            <w:pPr>
              <w:pStyle w:val="Instruction"/>
              <w:spacing w:after="0" w:line="240" w:lineRule="auto"/>
              <w:contextualSpacing/>
              <w:rPr>
                <w:rFonts w:cs="Arial"/>
                <w:i w:val="0"/>
                <w:color w:val="auto"/>
                <w:sz w:val="20"/>
                <w:szCs w:val="20"/>
              </w:rPr>
            </w:pPr>
            <w:r w:rsidRPr="00FD47E8">
              <w:rPr>
                <w:rFonts w:cs="Arial"/>
                <w:i w:val="0"/>
                <w:color w:val="auto"/>
                <w:sz w:val="20"/>
                <w:szCs w:val="20"/>
              </w:rPr>
              <w:t>Pre-</w:t>
            </w:r>
            <w:r w:rsidR="00D234E8" w:rsidRPr="00FD47E8">
              <w:rPr>
                <w:rFonts w:cs="Arial"/>
                <w:i w:val="0"/>
                <w:color w:val="auto"/>
                <w:sz w:val="20"/>
                <w:szCs w:val="20"/>
              </w:rPr>
              <w:t>reading</w:t>
            </w:r>
            <w:r w:rsidRPr="00FD47E8">
              <w:rPr>
                <w:rFonts w:cs="Arial"/>
                <w:i w:val="0"/>
                <w:color w:val="auto"/>
                <w:sz w:val="20"/>
                <w:szCs w:val="20"/>
              </w:rPr>
              <w:t xml:space="preserve"> is indicated in the table below. </w:t>
            </w:r>
            <w:r w:rsidR="001A2BD5" w:rsidRPr="00FD47E8">
              <w:rPr>
                <w:rFonts w:cs="Arial"/>
                <w:i w:val="0"/>
                <w:color w:val="auto"/>
                <w:sz w:val="20"/>
                <w:szCs w:val="20"/>
              </w:rPr>
              <w:t>Students are asked to read and respond to case questions each week. These are for preparation and class discussion. They are not submitted or graded.</w:t>
            </w:r>
          </w:p>
        </w:tc>
      </w:tr>
    </w:tbl>
    <w:p w14:paraId="0EBD8291" w14:textId="77777777" w:rsidR="008D7343" w:rsidRDefault="008D7343" w:rsidP="008D7343">
      <w:pPr>
        <w:pStyle w:val="SectionHeading"/>
        <w:spacing w:before="0" w:after="0" w:line="240" w:lineRule="auto"/>
        <w:contextualSpacing/>
        <w:rPr>
          <w:rFonts w:cs="Arial"/>
          <w:color w:val="auto"/>
        </w:rPr>
      </w:pPr>
    </w:p>
    <w:p w14:paraId="641B4FCA" w14:textId="0B9C8596" w:rsidR="0051410F" w:rsidRPr="00FD47E8" w:rsidRDefault="00C663C6" w:rsidP="008D7343">
      <w:pPr>
        <w:pStyle w:val="SectionHeading"/>
        <w:spacing w:before="0" w:after="0" w:line="240" w:lineRule="auto"/>
        <w:contextualSpacing/>
        <w:rPr>
          <w:rFonts w:cs="Arial"/>
          <w:color w:val="auto"/>
        </w:rPr>
      </w:pPr>
      <w:r w:rsidRPr="00FD47E8">
        <w:rPr>
          <w:rFonts w:cs="Arial"/>
          <w:color w:val="auto"/>
        </w:rPr>
        <w:t>COURSE COMMUNICATION</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19170D17" w14:textId="77777777">
        <w:trPr>
          <w:cantSplit/>
          <w:jc w:val="center"/>
        </w:trPr>
        <w:tc>
          <w:tcPr>
            <w:tcW w:w="10080" w:type="dxa"/>
            <w:shd w:val="clear" w:color="auto" w:fill="F7F7F7"/>
          </w:tcPr>
          <w:p w14:paraId="06D0F36B" w14:textId="35ABB723" w:rsidR="0051410F" w:rsidRPr="00FD47E8" w:rsidRDefault="00C663C6" w:rsidP="008D7343">
            <w:pPr>
              <w:pStyle w:val="Instruction"/>
              <w:spacing w:after="0" w:line="240" w:lineRule="auto"/>
              <w:contextualSpacing/>
              <w:rPr>
                <w:rFonts w:cs="Arial"/>
                <w:i w:val="0"/>
                <w:color w:val="auto"/>
              </w:rPr>
            </w:pPr>
            <w:r w:rsidRPr="00FD47E8">
              <w:rPr>
                <w:rFonts w:cs="Arial"/>
                <w:i w:val="0"/>
                <w:color w:val="auto"/>
                <w:sz w:val="20"/>
                <w:szCs w:val="20"/>
              </w:rPr>
              <w:t xml:space="preserve">Communication will be through Blackboard and email. Students should contact the lecturer using the following email address only: </w:t>
            </w:r>
            <w:r w:rsidR="00821080" w:rsidRPr="00FD47E8">
              <w:rPr>
                <w:rFonts w:cs="Arial"/>
                <w:i w:val="0"/>
                <w:color w:val="auto"/>
                <w:sz w:val="20"/>
                <w:szCs w:val="20"/>
              </w:rPr>
              <w:t>shantza@tcd.ie</w:t>
            </w:r>
            <w:r w:rsidRPr="00FD47E8">
              <w:rPr>
                <w:rFonts w:cs="Arial"/>
                <w:i w:val="0"/>
                <w:color w:val="auto"/>
                <w:sz w:val="20"/>
                <w:szCs w:val="20"/>
              </w:rPr>
              <w:t>. Course-related email communication should be sent from students’ official TCD email addresses.</w:t>
            </w:r>
          </w:p>
        </w:tc>
      </w:tr>
    </w:tbl>
    <w:p w14:paraId="245DEE32" w14:textId="77777777" w:rsidR="0051410F" w:rsidRPr="00FD47E8" w:rsidRDefault="00C663C6" w:rsidP="008D7343">
      <w:pPr>
        <w:spacing w:after="0" w:line="240" w:lineRule="auto"/>
        <w:contextualSpacing/>
        <w:rPr>
          <w:rFonts w:cs="Arial"/>
        </w:rPr>
      </w:pPr>
      <w:r w:rsidRPr="00FD47E8">
        <w:rPr>
          <w:rFonts w:cs="Arial"/>
        </w:rPr>
        <w:br w:type="page"/>
      </w:r>
    </w:p>
    <w:p w14:paraId="4287A88A" w14:textId="77777777" w:rsidR="0051410F" w:rsidRPr="00FD47E8" w:rsidRDefault="00C663C6" w:rsidP="008D7343">
      <w:pPr>
        <w:pStyle w:val="SectionHeading"/>
        <w:spacing w:before="0" w:after="0" w:line="240" w:lineRule="auto"/>
        <w:contextualSpacing/>
        <w:rPr>
          <w:rFonts w:cs="Arial"/>
          <w:color w:val="auto"/>
        </w:rPr>
      </w:pPr>
      <w:r w:rsidRPr="00FD47E8">
        <w:rPr>
          <w:rFonts w:cs="Arial"/>
          <w:color w:val="auto"/>
        </w:rPr>
        <w:lastRenderedPageBreak/>
        <w:t>AI POLICY AND PERMITTED GENERATIVE AI USE</w:t>
      </w:r>
    </w:p>
    <w:p w14:paraId="0F963059" w14:textId="77777777" w:rsidR="008D7343" w:rsidRDefault="008D7343" w:rsidP="008D7343">
      <w:pPr>
        <w:pStyle w:val="Subheading"/>
        <w:spacing w:before="0" w:after="0" w:line="240" w:lineRule="auto"/>
        <w:contextualSpacing/>
        <w:rPr>
          <w:rFonts w:cs="Arial"/>
        </w:rPr>
      </w:pPr>
    </w:p>
    <w:p w14:paraId="2BC43754" w14:textId="1746BB90" w:rsidR="0051410F" w:rsidRPr="00FD47E8" w:rsidRDefault="00C663C6" w:rsidP="008D7343">
      <w:pPr>
        <w:pStyle w:val="Subheading"/>
        <w:spacing w:before="0" w:after="0" w:line="240" w:lineRule="auto"/>
        <w:contextualSpacing/>
        <w:rPr>
          <w:rFonts w:cs="Arial"/>
        </w:rPr>
      </w:pPr>
      <w:r w:rsidRPr="00FD47E8">
        <w:rPr>
          <w:rFonts w:cs="Arial"/>
        </w:rPr>
        <w:t>Module-Level GenAI Policy</w:t>
      </w:r>
    </w:p>
    <w:tbl>
      <w:tblPr>
        <w:tblStyle w:val="TableGrid"/>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84"/>
        <w:gridCol w:w="5903"/>
      </w:tblGrid>
      <w:tr w:rsidR="0051410F" w:rsidRPr="00FD47E8" w14:paraId="0E51BAB7" w14:textId="77777777">
        <w:trPr>
          <w:cantSplit/>
          <w:jc w:val="center"/>
        </w:trPr>
        <w:tc>
          <w:tcPr>
            <w:tcW w:w="3384" w:type="dxa"/>
            <w:shd w:val="clear" w:color="auto" w:fill="D9EAF7"/>
          </w:tcPr>
          <w:p w14:paraId="218B643D" w14:textId="77777777" w:rsidR="0051410F" w:rsidRPr="00FD47E8" w:rsidRDefault="00C663C6" w:rsidP="008D7343">
            <w:pPr>
              <w:contextualSpacing/>
              <w:rPr>
                <w:rFonts w:cs="Arial"/>
                <w:szCs w:val="20"/>
              </w:rPr>
            </w:pPr>
            <w:r w:rsidRPr="00FD47E8">
              <w:rPr>
                <w:rFonts w:cs="Arial"/>
                <w:b/>
                <w:szCs w:val="20"/>
              </w:rPr>
              <w:t>Default permitted GenAI level for this module</w:t>
            </w:r>
          </w:p>
        </w:tc>
        <w:tc>
          <w:tcPr>
            <w:tcW w:w="5903" w:type="dxa"/>
          </w:tcPr>
          <w:p w14:paraId="7B914003" w14:textId="5BF7B67B" w:rsidR="0051410F" w:rsidRPr="00FD47E8" w:rsidRDefault="00EF5D3B" w:rsidP="008D7343">
            <w:pPr>
              <w:contextualSpacing/>
              <w:rPr>
                <w:rFonts w:cs="Arial"/>
                <w:szCs w:val="20"/>
              </w:rPr>
            </w:pPr>
            <w:r w:rsidRPr="00FD47E8">
              <w:rPr>
                <w:rFonts w:cs="Arial"/>
                <w:szCs w:val="20"/>
              </w:rPr>
              <w:t xml:space="preserve">GenAI may be used for brainstorming questions, developing provisional outlines, grammar or style checks, presentation </w:t>
            </w:r>
            <w:proofErr w:type="spellStart"/>
            <w:r w:rsidRPr="00FD47E8">
              <w:rPr>
                <w:rFonts w:cs="Arial"/>
                <w:szCs w:val="20"/>
              </w:rPr>
              <w:t>visualisation</w:t>
            </w:r>
            <w:proofErr w:type="spellEnd"/>
            <w:r w:rsidRPr="00FD47E8">
              <w:rPr>
                <w:rFonts w:cs="Arial"/>
                <w:szCs w:val="20"/>
              </w:rPr>
              <w:t>, and coding support that the student can fully explain.</w:t>
            </w:r>
            <w:r w:rsidRPr="00FD47E8">
              <w:rPr>
                <w:rFonts w:cs="Arial"/>
                <w:szCs w:val="20"/>
              </w:rPr>
              <w:t xml:space="preserve"> </w:t>
            </w:r>
            <w:r w:rsidR="000876F2" w:rsidRPr="00FD47E8">
              <w:rPr>
                <w:rFonts w:cs="Arial"/>
                <w:szCs w:val="20"/>
              </w:rPr>
              <w:t>GenAI may be used to complete specified elements of the task, provided students critically evaluate, discuss, contextualize or integrate the GenAI-generated material. All GenAI-created content must be clearly acknowledged.</w:t>
            </w:r>
          </w:p>
        </w:tc>
      </w:tr>
      <w:tr w:rsidR="0051410F" w:rsidRPr="00FD47E8" w14:paraId="032C5825" w14:textId="77777777">
        <w:trPr>
          <w:cantSplit/>
          <w:jc w:val="center"/>
        </w:trPr>
        <w:tc>
          <w:tcPr>
            <w:tcW w:w="3384" w:type="dxa"/>
            <w:shd w:val="clear" w:color="auto" w:fill="D9EAF7"/>
          </w:tcPr>
          <w:p w14:paraId="7074A91D" w14:textId="77777777" w:rsidR="0051410F" w:rsidRPr="00FD47E8" w:rsidRDefault="00C663C6" w:rsidP="008D7343">
            <w:pPr>
              <w:contextualSpacing/>
              <w:rPr>
                <w:rFonts w:cs="Arial"/>
                <w:szCs w:val="20"/>
              </w:rPr>
            </w:pPr>
            <w:r w:rsidRPr="00FD47E8">
              <w:rPr>
                <w:rFonts w:cs="Arial"/>
                <w:b/>
                <w:szCs w:val="20"/>
              </w:rPr>
              <w:t>Is this level the same for all assessments?</w:t>
            </w:r>
          </w:p>
        </w:tc>
        <w:tc>
          <w:tcPr>
            <w:tcW w:w="5903" w:type="dxa"/>
          </w:tcPr>
          <w:p w14:paraId="4688A4F0" w14:textId="27CA53F8" w:rsidR="0051410F" w:rsidRPr="00FD47E8" w:rsidRDefault="00821080" w:rsidP="008D7343">
            <w:pPr>
              <w:contextualSpacing/>
              <w:rPr>
                <w:rFonts w:cs="Arial"/>
                <w:szCs w:val="20"/>
              </w:rPr>
            </w:pPr>
            <w:r w:rsidRPr="00FD47E8">
              <w:rPr>
                <w:rFonts w:cs="Arial"/>
                <w:szCs w:val="20"/>
              </w:rPr>
              <w:t xml:space="preserve">No (the final exam is sat in the final exam period). </w:t>
            </w:r>
          </w:p>
        </w:tc>
      </w:tr>
      <w:tr w:rsidR="0051410F" w:rsidRPr="00FD47E8" w14:paraId="7677E0DC" w14:textId="77777777">
        <w:trPr>
          <w:cantSplit/>
          <w:jc w:val="center"/>
        </w:trPr>
        <w:tc>
          <w:tcPr>
            <w:tcW w:w="3384" w:type="dxa"/>
            <w:shd w:val="clear" w:color="auto" w:fill="D9EAF7"/>
          </w:tcPr>
          <w:p w14:paraId="573E2575" w14:textId="77777777" w:rsidR="0051410F" w:rsidRPr="00FD47E8" w:rsidRDefault="00C663C6" w:rsidP="008D7343">
            <w:pPr>
              <w:contextualSpacing/>
              <w:rPr>
                <w:rFonts w:cs="Arial"/>
                <w:szCs w:val="20"/>
              </w:rPr>
            </w:pPr>
            <w:r w:rsidRPr="00FD47E8">
              <w:rPr>
                <w:rFonts w:cs="Arial"/>
                <w:b/>
                <w:szCs w:val="20"/>
              </w:rPr>
              <w:t>Module leader rationale</w:t>
            </w:r>
          </w:p>
        </w:tc>
        <w:tc>
          <w:tcPr>
            <w:tcW w:w="5903" w:type="dxa"/>
          </w:tcPr>
          <w:p w14:paraId="062FE52F" w14:textId="4D9FD75F" w:rsidR="0051410F" w:rsidRPr="00FD47E8" w:rsidRDefault="00E37202" w:rsidP="008D7343">
            <w:pPr>
              <w:contextualSpacing/>
              <w:rPr>
                <w:rFonts w:cs="Arial"/>
                <w:szCs w:val="20"/>
              </w:rPr>
            </w:pPr>
            <w:r w:rsidRPr="00FD47E8">
              <w:rPr>
                <w:rFonts w:cs="Arial"/>
                <w:szCs w:val="20"/>
              </w:rPr>
              <w:t>Students may use GenAI to support learning and improve aspects of their work, provided they remain responsible for the analysis, accuracy, sources, and final submission.</w:t>
            </w:r>
          </w:p>
        </w:tc>
      </w:tr>
      <w:tr w:rsidR="0051410F" w:rsidRPr="00FD47E8" w14:paraId="6074A9AF" w14:textId="77777777">
        <w:trPr>
          <w:cantSplit/>
          <w:jc w:val="center"/>
        </w:trPr>
        <w:tc>
          <w:tcPr>
            <w:tcW w:w="3384" w:type="dxa"/>
            <w:shd w:val="clear" w:color="auto" w:fill="D9EAF7"/>
          </w:tcPr>
          <w:p w14:paraId="6FFA5F3D" w14:textId="77777777" w:rsidR="0051410F" w:rsidRPr="00FD47E8" w:rsidRDefault="00C663C6" w:rsidP="008D7343">
            <w:pPr>
              <w:contextualSpacing/>
              <w:rPr>
                <w:rFonts w:cs="Arial"/>
                <w:szCs w:val="20"/>
              </w:rPr>
            </w:pPr>
            <w:r w:rsidRPr="00FD47E8">
              <w:rPr>
                <w:rFonts w:cs="Arial"/>
                <w:b/>
                <w:szCs w:val="20"/>
              </w:rPr>
              <w:t>Specific tools/platforms permitted or required</w:t>
            </w:r>
          </w:p>
        </w:tc>
        <w:tc>
          <w:tcPr>
            <w:tcW w:w="5903" w:type="dxa"/>
          </w:tcPr>
          <w:p w14:paraId="7324A902" w14:textId="4084F5DE" w:rsidR="0051410F" w:rsidRPr="00FD47E8" w:rsidRDefault="00821080" w:rsidP="008D7343">
            <w:pPr>
              <w:contextualSpacing/>
              <w:rPr>
                <w:rFonts w:cs="Arial"/>
                <w:szCs w:val="20"/>
              </w:rPr>
            </w:pPr>
            <w:r w:rsidRPr="00FD47E8">
              <w:rPr>
                <w:rFonts w:cs="Arial"/>
                <w:szCs w:val="20"/>
              </w:rPr>
              <w:t xml:space="preserve">No specific tools required. </w:t>
            </w:r>
          </w:p>
        </w:tc>
      </w:tr>
      <w:tr w:rsidR="0051410F" w:rsidRPr="00FD47E8" w14:paraId="361C98D6" w14:textId="77777777">
        <w:trPr>
          <w:cantSplit/>
          <w:jc w:val="center"/>
        </w:trPr>
        <w:tc>
          <w:tcPr>
            <w:tcW w:w="3384" w:type="dxa"/>
            <w:shd w:val="clear" w:color="auto" w:fill="D9EAF7"/>
          </w:tcPr>
          <w:p w14:paraId="769E976E" w14:textId="77777777" w:rsidR="0051410F" w:rsidRPr="00FD47E8" w:rsidRDefault="00C663C6" w:rsidP="008D7343">
            <w:pPr>
              <w:contextualSpacing/>
              <w:rPr>
                <w:rFonts w:cs="Arial"/>
                <w:szCs w:val="20"/>
              </w:rPr>
            </w:pPr>
            <w:r w:rsidRPr="00FD47E8">
              <w:rPr>
                <w:rFonts w:cs="Arial"/>
                <w:b/>
                <w:szCs w:val="20"/>
              </w:rPr>
              <w:t>Specific restrictions</w:t>
            </w:r>
          </w:p>
        </w:tc>
        <w:tc>
          <w:tcPr>
            <w:tcW w:w="5903" w:type="dxa"/>
          </w:tcPr>
          <w:p w14:paraId="3D2456A4" w14:textId="6D9A028C" w:rsidR="0051410F" w:rsidRPr="00FD47E8" w:rsidRDefault="00B35EDD" w:rsidP="008D7343">
            <w:pPr>
              <w:contextualSpacing/>
              <w:rPr>
                <w:rFonts w:cs="Arial"/>
                <w:szCs w:val="20"/>
              </w:rPr>
            </w:pPr>
            <w:r w:rsidRPr="00FD47E8">
              <w:rPr>
                <w:rFonts w:cs="Arial"/>
                <w:szCs w:val="20"/>
              </w:rPr>
              <w:t>Restrictions apply by assessment. GenAI is not permitted in the final exam. For the group report, GenAI may be used only in the permitted ways described below, must be acknowledged, and must not be used to upload confidential, personal, copyrighted, non-public, or sensitive material.</w:t>
            </w:r>
          </w:p>
        </w:tc>
      </w:tr>
    </w:tbl>
    <w:p w14:paraId="1B685F80" w14:textId="77777777" w:rsidR="002C7AAE" w:rsidRPr="00FD47E8" w:rsidRDefault="002C7AAE" w:rsidP="008D7343">
      <w:pPr>
        <w:pStyle w:val="Subheading"/>
        <w:spacing w:before="0" w:after="0" w:line="240" w:lineRule="auto"/>
        <w:contextualSpacing/>
        <w:rPr>
          <w:rFonts w:cs="Arial"/>
        </w:rPr>
      </w:pPr>
    </w:p>
    <w:p w14:paraId="77F12205" w14:textId="58CC3BEB" w:rsidR="006D3442" w:rsidRPr="00FD47E8" w:rsidRDefault="006D3442" w:rsidP="008D7343">
      <w:pPr>
        <w:spacing w:after="0" w:line="240" w:lineRule="auto"/>
        <w:contextualSpacing/>
        <w:rPr>
          <w:rFonts w:eastAsia="Times New Roman" w:cs="Arial"/>
          <w:color w:val="212121"/>
          <w:sz w:val="22"/>
        </w:rPr>
      </w:pPr>
      <w:r w:rsidRPr="00FD47E8">
        <w:rPr>
          <w:rFonts w:cs="Arial"/>
          <w:b/>
          <w:bCs/>
          <w:color w:val="212121"/>
          <w:sz w:val="22"/>
        </w:rPr>
        <w:t>PLAGIARISM</w:t>
      </w:r>
    </w:p>
    <w:p w14:paraId="78B30B8E" w14:textId="77777777" w:rsidR="006D3442" w:rsidRPr="00FD47E8" w:rsidRDefault="006D3442" w:rsidP="008D7343">
      <w:pPr>
        <w:pStyle w:val="Instruction"/>
        <w:spacing w:after="0" w:line="240" w:lineRule="auto"/>
        <w:contextualSpacing/>
        <w:rPr>
          <w:rFonts w:cs="Arial"/>
          <w:i w:val="0"/>
          <w:color w:val="auto"/>
          <w:sz w:val="20"/>
          <w:szCs w:val="20"/>
        </w:rPr>
      </w:pPr>
      <w:r w:rsidRPr="00FD47E8">
        <w:rPr>
          <w:rFonts w:cs="Arial"/>
          <w:i w:val="0"/>
          <w:color w:val="auto"/>
          <w:sz w:val="20"/>
          <w:szCs w:val="20"/>
        </w:rPr>
        <w:t>Please note the plagiarism provisions in the General Regulations of the University Calendar for the current year, and make sure you have completed the Online Tutorial on avoiding plagiarism 'Ready, Steady, Write', located at </w:t>
      </w:r>
      <w:hyperlink r:id="rId11" w:tooltip="https://libguides.tcd.ie/academic-integrity/ready-steady-write" w:history="1">
        <w:r w:rsidRPr="00FD47E8">
          <w:rPr>
            <w:rFonts w:cs="Arial"/>
            <w:i w:val="0"/>
            <w:color w:val="auto"/>
            <w:sz w:val="20"/>
            <w:szCs w:val="20"/>
          </w:rPr>
          <w:t>https://libguides.tcd.ie/academic-integrity/re</w:t>
        </w:r>
        <w:r w:rsidRPr="00FD47E8">
          <w:rPr>
            <w:rFonts w:cs="Arial"/>
            <w:i w:val="0"/>
            <w:color w:val="auto"/>
            <w:sz w:val="20"/>
            <w:szCs w:val="20"/>
          </w:rPr>
          <w:t>a</w:t>
        </w:r>
        <w:r w:rsidRPr="00FD47E8">
          <w:rPr>
            <w:rFonts w:cs="Arial"/>
            <w:i w:val="0"/>
            <w:color w:val="auto"/>
            <w:sz w:val="20"/>
            <w:szCs w:val="20"/>
          </w:rPr>
          <w:t>dy-steady-write</w:t>
        </w:r>
      </w:hyperlink>
    </w:p>
    <w:p w14:paraId="60352674" w14:textId="77777777" w:rsidR="000876F2" w:rsidRPr="00FD47E8" w:rsidRDefault="000876F2" w:rsidP="008D7343">
      <w:pPr>
        <w:spacing w:after="0" w:line="240" w:lineRule="auto"/>
        <w:contextualSpacing/>
        <w:rPr>
          <w:rFonts w:cs="Arial"/>
        </w:rPr>
      </w:pPr>
    </w:p>
    <w:p w14:paraId="45B062F4" w14:textId="72E18ABE" w:rsidR="0051410F" w:rsidRPr="00FD47E8" w:rsidRDefault="00C663C6" w:rsidP="008D7343">
      <w:pPr>
        <w:pStyle w:val="Subheading"/>
        <w:pageBreakBefore/>
        <w:spacing w:before="0" w:after="0" w:line="240" w:lineRule="auto"/>
        <w:contextualSpacing/>
        <w:rPr>
          <w:rFonts w:cs="Arial"/>
        </w:rPr>
      </w:pPr>
      <w:r w:rsidRPr="00FD47E8">
        <w:rPr>
          <w:rFonts w:cs="Arial"/>
        </w:rPr>
        <w:lastRenderedPageBreak/>
        <w:t>Assessment-Specific GenAI Permissions</w:t>
      </w:r>
    </w:p>
    <w:tbl>
      <w:tblPr>
        <w:tblStyle w:val="TableGrid"/>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42"/>
        <w:gridCol w:w="1139"/>
        <w:gridCol w:w="2176"/>
        <w:gridCol w:w="2896"/>
        <w:gridCol w:w="2217"/>
      </w:tblGrid>
      <w:tr w:rsidR="0051410F" w:rsidRPr="00FD47E8" w14:paraId="28B2E00E" w14:textId="77777777" w:rsidTr="00B35EDD">
        <w:trPr>
          <w:cantSplit/>
          <w:jc w:val="center"/>
        </w:trPr>
        <w:tc>
          <w:tcPr>
            <w:tcW w:w="1642" w:type="dxa"/>
            <w:shd w:val="clear" w:color="auto" w:fill="D9EAF7"/>
          </w:tcPr>
          <w:p w14:paraId="1AD10C5A" w14:textId="77777777" w:rsidR="0051410F" w:rsidRPr="00FD47E8" w:rsidRDefault="00C663C6" w:rsidP="008D7343">
            <w:pPr>
              <w:contextualSpacing/>
              <w:rPr>
                <w:rFonts w:cs="Arial"/>
                <w:szCs w:val="20"/>
              </w:rPr>
            </w:pPr>
            <w:r w:rsidRPr="00FD47E8">
              <w:rPr>
                <w:rFonts w:cs="Arial"/>
                <w:b/>
                <w:szCs w:val="20"/>
              </w:rPr>
              <w:t>Assessment</w:t>
            </w:r>
          </w:p>
        </w:tc>
        <w:tc>
          <w:tcPr>
            <w:tcW w:w="1139" w:type="dxa"/>
            <w:shd w:val="clear" w:color="auto" w:fill="D9EAF7"/>
          </w:tcPr>
          <w:p w14:paraId="60D386C6" w14:textId="77777777" w:rsidR="0051410F" w:rsidRPr="00FD47E8" w:rsidRDefault="00C663C6" w:rsidP="008D7343">
            <w:pPr>
              <w:contextualSpacing/>
              <w:rPr>
                <w:rFonts w:cs="Arial"/>
                <w:szCs w:val="20"/>
              </w:rPr>
            </w:pPr>
            <w:r w:rsidRPr="00FD47E8">
              <w:rPr>
                <w:rFonts w:cs="Arial"/>
                <w:b/>
                <w:szCs w:val="20"/>
              </w:rPr>
              <w:t>Permitted GenAI level</w:t>
            </w:r>
          </w:p>
        </w:tc>
        <w:tc>
          <w:tcPr>
            <w:tcW w:w="2176" w:type="dxa"/>
            <w:shd w:val="clear" w:color="auto" w:fill="D9EAF7"/>
          </w:tcPr>
          <w:p w14:paraId="2DE64EF8" w14:textId="77777777" w:rsidR="0051410F" w:rsidRPr="00FD47E8" w:rsidRDefault="00C663C6" w:rsidP="008D7343">
            <w:pPr>
              <w:contextualSpacing/>
              <w:rPr>
                <w:rFonts w:cs="Arial"/>
                <w:szCs w:val="20"/>
              </w:rPr>
            </w:pPr>
            <w:r w:rsidRPr="00FD47E8">
              <w:rPr>
                <w:rFonts w:cs="Arial"/>
                <w:b/>
                <w:szCs w:val="20"/>
              </w:rPr>
              <w:t>Permitted uses</w:t>
            </w:r>
          </w:p>
        </w:tc>
        <w:tc>
          <w:tcPr>
            <w:tcW w:w="2896" w:type="dxa"/>
            <w:shd w:val="clear" w:color="auto" w:fill="D9EAF7"/>
          </w:tcPr>
          <w:p w14:paraId="77704F4A" w14:textId="77777777" w:rsidR="0051410F" w:rsidRPr="00FD47E8" w:rsidRDefault="00C663C6" w:rsidP="008D7343">
            <w:pPr>
              <w:contextualSpacing/>
              <w:rPr>
                <w:rFonts w:cs="Arial"/>
                <w:szCs w:val="20"/>
              </w:rPr>
            </w:pPr>
            <w:r w:rsidRPr="00FD47E8">
              <w:rPr>
                <w:rFonts w:cs="Arial"/>
                <w:b/>
                <w:szCs w:val="20"/>
              </w:rPr>
              <w:t>Prohibited uses</w:t>
            </w:r>
          </w:p>
        </w:tc>
        <w:tc>
          <w:tcPr>
            <w:tcW w:w="2217" w:type="dxa"/>
            <w:shd w:val="clear" w:color="auto" w:fill="D9EAF7"/>
          </w:tcPr>
          <w:p w14:paraId="2A9EC9DD" w14:textId="77777777" w:rsidR="0051410F" w:rsidRPr="00FD47E8" w:rsidRDefault="00C663C6" w:rsidP="008D7343">
            <w:pPr>
              <w:contextualSpacing/>
              <w:rPr>
                <w:rFonts w:cs="Arial"/>
                <w:szCs w:val="20"/>
              </w:rPr>
            </w:pPr>
            <w:r w:rsidRPr="00FD47E8">
              <w:rPr>
                <w:rFonts w:cs="Arial"/>
                <w:b/>
                <w:szCs w:val="20"/>
              </w:rPr>
              <w:t>Required acknowledgement / evidence</w:t>
            </w:r>
          </w:p>
        </w:tc>
      </w:tr>
      <w:tr w:rsidR="0051410F" w:rsidRPr="00FD47E8" w14:paraId="0C70D4A6" w14:textId="77777777" w:rsidTr="00B35EDD">
        <w:trPr>
          <w:cantSplit/>
          <w:jc w:val="center"/>
        </w:trPr>
        <w:tc>
          <w:tcPr>
            <w:tcW w:w="1642" w:type="dxa"/>
          </w:tcPr>
          <w:p w14:paraId="714A3879" w14:textId="4405E16F" w:rsidR="0051410F" w:rsidRPr="00FD47E8" w:rsidRDefault="00821080" w:rsidP="008D7343">
            <w:pPr>
              <w:contextualSpacing/>
              <w:rPr>
                <w:rFonts w:cs="Arial"/>
                <w:szCs w:val="20"/>
              </w:rPr>
            </w:pPr>
            <w:r w:rsidRPr="00FD47E8">
              <w:rPr>
                <w:rFonts w:cs="Arial"/>
                <w:szCs w:val="20"/>
              </w:rPr>
              <w:t xml:space="preserve">Group Report: </w:t>
            </w:r>
            <w:r w:rsidR="003D4509" w:rsidRPr="00FD47E8">
              <w:rPr>
                <w:rFonts w:cs="Arial"/>
                <w:szCs w:val="20"/>
              </w:rPr>
              <w:t>25</w:t>
            </w:r>
            <w:r w:rsidRPr="00FD47E8">
              <w:rPr>
                <w:rFonts w:cs="Arial"/>
                <w:szCs w:val="20"/>
              </w:rPr>
              <w:t>%</w:t>
            </w:r>
          </w:p>
        </w:tc>
        <w:tc>
          <w:tcPr>
            <w:tcW w:w="1139" w:type="dxa"/>
          </w:tcPr>
          <w:p w14:paraId="47656D6C" w14:textId="494DC91F" w:rsidR="0051410F" w:rsidRPr="00FD47E8" w:rsidRDefault="00BE6F86" w:rsidP="008D7343">
            <w:pPr>
              <w:contextualSpacing/>
              <w:rPr>
                <w:rFonts w:cs="Arial"/>
                <w:szCs w:val="20"/>
              </w:rPr>
            </w:pPr>
            <w:r w:rsidRPr="00FD47E8">
              <w:rPr>
                <w:rFonts w:cs="Arial"/>
                <w:szCs w:val="20"/>
              </w:rPr>
              <w:t>Yellow</w:t>
            </w:r>
          </w:p>
        </w:tc>
        <w:tc>
          <w:tcPr>
            <w:tcW w:w="2176" w:type="dxa"/>
          </w:tcPr>
          <w:p w14:paraId="19239EA1" w14:textId="1188C535" w:rsidR="0051410F" w:rsidRPr="00FD47E8" w:rsidRDefault="00BE6F86" w:rsidP="008D7343">
            <w:pPr>
              <w:contextualSpacing/>
              <w:rPr>
                <w:rFonts w:cs="Arial"/>
                <w:szCs w:val="20"/>
              </w:rPr>
            </w:pPr>
            <w:r w:rsidRPr="00FD47E8">
              <w:rPr>
                <w:rFonts w:cs="Arial"/>
                <w:szCs w:val="20"/>
              </w:rPr>
              <w:t xml:space="preserve">GenAI may be used to complete specified elements of the task, provided students critically evaluate, discuss, </w:t>
            </w:r>
            <w:r w:rsidR="000741D3" w:rsidRPr="00FD47E8">
              <w:rPr>
                <w:rFonts w:cs="Arial"/>
                <w:szCs w:val="20"/>
              </w:rPr>
              <w:t>contextualize</w:t>
            </w:r>
            <w:r w:rsidRPr="00FD47E8">
              <w:rPr>
                <w:rFonts w:cs="Arial"/>
                <w:szCs w:val="20"/>
              </w:rPr>
              <w:t xml:space="preserve"> or integrate the GenAI-generated material. All GenAI-created content must be clearly acknowledged.</w:t>
            </w:r>
          </w:p>
        </w:tc>
        <w:tc>
          <w:tcPr>
            <w:tcW w:w="2896" w:type="dxa"/>
          </w:tcPr>
          <w:p w14:paraId="06894A87" w14:textId="1AF1B0E4" w:rsidR="0051410F" w:rsidRPr="00FD47E8" w:rsidRDefault="00B35EDD" w:rsidP="008D7343">
            <w:pPr>
              <w:contextualSpacing/>
              <w:rPr>
                <w:rFonts w:cs="Arial"/>
                <w:szCs w:val="20"/>
              </w:rPr>
            </w:pPr>
            <w:r w:rsidRPr="00FD47E8">
              <w:rPr>
                <w:rFonts w:cs="Arial"/>
              </w:rPr>
              <w:t>Prohibited uses include submitting GenAI-generated analysis as the group’s own work without critical evaluation; fabricating or relying on unverifiable references; using GenAI to replace engagement with required readings; uploading copyrighted case materials or non-public information into third-party tools; and failing to disclose GenAI use.</w:t>
            </w:r>
          </w:p>
        </w:tc>
        <w:tc>
          <w:tcPr>
            <w:tcW w:w="2217" w:type="dxa"/>
          </w:tcPr>
          <w:p w14:paraId="5BFCCDD2" w14:textId="31EAE179" w:rsidR="0051410F" w:rsidRPr="00FD47E8" w:rsidRDefault="00821080" w:rsidP="008D7343">
            <w:pPr>
              <w:contextualSpacing/>
              <w:rPr>
                <w:rFonts w:cs="Arial"/>
                <w:szCs w:val="20"/>
              </w:rPr>
            </w:pPr>
            <w:r w:rsidRPr="00FD47E8">
              <w:rPr>
                <w:rFonts w:cs="Arial"/>
                <w:szCs w:val="20"/>
              </w:rPr>
              <w:t>Required declaration</w:t>
            </w:r>
          </w:p>
        </w:tc>
      </w:tr>
      <w:tr w:rsidR="0051410F" w:rsidRPr="00FD47E8" w14:paraId="6B520215" w14:textId="77777777" w:rsidTr="00B35EDD">
        <w:trPr>
          <w:cantSplit/>
          <w:jc w:val="center"/>
        </w:trPr>
        <w:tc>
          <w:tcPr>
            <w:tcW w:w="1642" w:type="dxa"/>
          </w:tcPr>
          <w:p w14:paraId="5F9A923C" w14:textId="7405B0C3" w:rsidR="0051410F" w:rsidRPr="00FD47E8" w:rsidRDefault="00821080" w:rsidP="008D7343">
            <w:pPr>
              <w:contextualSpacing/>
              <w:rPr>
                <w:rFonts w:cs="Arial"/>
                <w:szCs w:val="20"/>
              </w:rPr>
            </w:pPr>
            <w:r w:rsidRPr="00FD47E8">
              <w:rPr>
                <w:rFonts w:cs="Arial"/>
                <w:szCs w:val="20"/>
              </w:rPr>
              <w:t>Final Exam: 7</w:t>
            </w:r>
            <w:r w:rsidR="003D4509" w:rsidRPr="00FD47E8">
              <w:rPr>
                <w:rFonts w:cs="Arial"/>
                <w:szCs w:val="20"/>
              </w:rPr>
              <w:t>5</w:t>
            </w:r>
            <w:r w:rsidRPr="00FD47E8">
              <w:rPr>
                <w:rFonts w:cs="Arial"/>
                <w:szCs w:val="20"/>
              </w:rPr>
              <w:t>%</w:t>
            </w:r>
          </w:p>
        </w:tc>
        <w:tc>
          <w:tcPr>
            <w:tcW w:w="1139" w:type="dxa"/>
          </w:tcPr>
          <w:p w14:paraId="47E8EEE6" w14:textId="6B67B8E1" w:rsidR="0051410F" w:rsidRPr="00FD47E8" w:rsidRDefault="00821080" w:rsidP="008D7343">
            <w:pPr>
              <w:contextualSpacing/>
              <w:rPr>
                <w:rFonts w:cs="Arial"/>
                <w:szCs w:val="20"/>
              </w:rPr>
            </w:pPr>
            <w:r w:rsidRPr="00FD47E8">
              <w:rPr>
                <w:rFonts w:cs="Arial"/>
                <w:szCs w:val="20"/>
              </w:rPr>
              <w:t>Red</w:t>
            </w:r>
          </w:p>
        </w:tc>
        <w:tc>
          <w:tcPr>
            <w:tcW w:w="2176" w:type="dxa"/>
          </w:tcPr>
          <w:p w14:paraId="4E21C4FF" w14:textId="1309AD99" w:rsidR="0051410F" w:rsidRPr="00FD47E8" w:rsidRDefault="00127CD5" w:rsidP="008D7343">
            <w:pPr>
              <w:contextualSpacing/>
              <w:rPr>
                <w:rFonts w:cs="Arial"/>
                <w:szCs w:val="20"/>
              </w:rPr>
            </w:pPr>
            <w:r w:rsidRPr="00FD47E8">
              <w:rPr>
                <w:rFonts w:cs="Arial"/>
                <w:szCs w:val="20"/>
              </w:rPr>
              <w:t>None</w:t>
            </w:r>
          </w:p>
        </w:tc>
        <w:tc>
          <w:tcPr>
            <w:tcW w:w="2896" w:type="dxa"/>
          </w:tcPr>
          <w:p w14:paraId="008F4382" w14:textId="16817A6C" w:rsidR="0051410F" w:rsidRPr="00FD47E8" w:rsidRDefault="00127CD5" w:rsidP="008D7343">
            <w:pPr>
              <w:contextualSpacing/>
              <w:rPr>
                <w:rFonts w:cs="Arial"/>
                <w:szCs w:val="20"/>
              </w:rPr>
            </w:pPr>
            <w:r w:rsidRPr="00FD47E8">
              <w:rPr>
                <w:rFonts w:cs="Arial"/>
              </w:rPr>
              <w:t xml:space="preserve">Use of GenAI, </w:t>
            </w:r>
            <w:proofErr w:type="spellStart"/>
            <w:r w:rsidRPr="00FD47E8">
              <w:rPr>
                <w:rFonts w:cs="Arial"/>
              </w:rPr>
              <w:t>unauthorised</w:t>
            </w:r>
            <w:proofErr w:type="spellEnd"/>
            <w:r w:rsidRPr="00FD47E8">
              <w:rPr>
                <w:rFonts w:cs="Arial"/>
              </w:rPr>
              <w:t xml:space="preserve"> materials, or collaboration is prohibited</w:t>
            </w:r>
          </w:p>
        </w:tc>
        <w:tc>
          <w:tcPr>
            <w:tcW w:w="2217" w:type="dxa"/>
          </w:tcPr>
          <w:p w14:paraId="131D6FAD" w14:textId="556CD438" w:rsidR="0051410F" w:rsidRPr="00FD47E8" w:rsidRDefault="00127CD5" w:rsidP="008D7343">
            <w:pPr>
              <w:contextualSpacing/>
              <w:rPr>
                <w:rFonts w:cs="Arial"/>
                <w:szCs w:val="20"/>
              </w:rPr>
            </w:pPr>
            <w:r w:rsidRPr="00FD47E8">
              <w:rPr>
                <w:rFonts w:cs="Arial"/>
                <w:szCs w:val="20"/>
              </w:rPr>
              <w:t>None</w:t>
            </w:r>
          </w:p>
        </w:tc>
      </w:tr>
    </w:tbl>
    <w:p w14:paraId="404720E1" w14:textId="77777777" w:rsidR="008D7343" w:rsidRDefault="008D7343" w:rsidP="008D7343">
      <w:pPr>
        <w:pStyle w:val="Subheading"/>
        <w:spacing w:before="0" w:after="0" w:line="240" w:lineRule="auto"/>
        <w:contextualSpacing/>
        <w:rPr>
          <w:rFonts w:cs="Arial"/>
        </w:rPr>
      </w:pPr>
    </w:p>
    <w:p w14:paraId="7A967969" w14:textId="0FC9802E" w:rsidR="0051410F" w:rsidRPr="00FD47E8" w:rsidRDefault="00C663C6" w:rsidP="008D7343">
      <w:pPr>
        <w:pStyle w:val="Subheading"/>
        <w:spacing w:before="0" w:after="0" w:line="240" w:lineRule="auto"/>
        <w:contextualSpacing/>
        <w:rPr>
          <w:rFonts w:cs="Arial"/>
        </w:rPr>
      </w:pPr>
      <w:r w:rsidRPr="00FD47E8">
        <w:rPr>
          <w:rFonts w:cs="Arial"/>
        </w:rPr>
        <w:t>Student Declaration and Acknowledgement Requirements</w:t>
      </w:r>
    </w:p>
    <w:tbl>
      <w:tblPr>
        <w:tblStyle w:val="TableGrid"/>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070"/>
      </w:tblGrid>
      <w:tr w:rsidR="0051410F" w:rsidRPr="00FD47E8" w14:paraId="5820072A" w14:textId="77777777">
        <w:trPr>
          <w:cantSplit/>
          <w:jc w:val="center"/>
        </w:trPr>
        <w:tc>
          <w:tcPr>
            <w:tcW w:w="10080" w:type="dxa"/>
          </w:tcPr>
          <w:p w14:paraId="284D7D16" w14:textId="7E3CE1E5" w:rsidR="00B35EDD" w:rsidRPr="00FD47E8" w:rsidRDefault="00B35EDD" w:rsidP="008D7343">
            <w:pPr>
              <w:pStyle w:val="Subheading"/>
              <w:spacing w:before="0" w:after="0"/>
              <w:contextualSpacing/>
              <w:rPr>
                <w:rFonts w:cs="Arial"/>
                <w:b w:val="0"/>
                <w:bCs/>
              </w:rPr>
            </w:pPr>
            <w:r w:rsidRPr="00FD47E8">
              <w:rPr>
                <w:rFonts w:cs="Arial"/>
                <w:b w:val="0"/>
                <w:bCs/>
              </w:rPr>
              <w:t>Students must not upload confidential, personal, private, sensitive, copyrighted, or non-public College, client, staff, student, or case information to third-party GenAI tools.</w:t>
            </w:r>
          </w:p>
          <w:p w14:paraId="3FC483E4" w14:textId="77777777" w:rsidR="00B35EDD" w:rsidRPr="00FD47E8" w:rsidRDefault="00B35EDD" w:rsidP="008D7343">
            <w:pPr>
              <w:pStyle w:val="Subheading"/>
              <w:spacing w:before="0" w:after="0"/>
              <w:contextualSpacing/>
              <w:rPr>
                <w:rFonts w:cs="Arial"/>
                <w:b w:val="0"/>
                <w:bCs/>
              </w:rPr>
            </w:pPr>
            <w:r w:rsidRPr="00FD47E8">
              <w:rPr>
                <w:rFonts w:cs="Arial"/>
                <w:b w:val="0"/>
                <w:bCs/>
              </w:rPr>
              <w:t>For the group assignment, each group must include a GenAI declaration appendix of approximately 300 words. This appendix is excluded from the word count. The declaration must state whether GenAI tools were used. If GenAI was used, the group must explain:</w:t>
            </w:r>
          </w:p>
          <w:p w14:paraId="7104A5EE" w14:textId="77777777" w:rsidR="00B35EDD" w:rsidRPr="00FD47E8" w:rsidRDefault="00B35EDD" w:rsidP="008D7343">
            <w:pPr>
              <w:pStyle w:val="Subheading"/>
              <w:numPr>
                <w:ilvl w:val="0"/>
                <w:numId w:val="21"/>
              </w:numPr>
              <w:spacing w:before="0" w:after="0"/>
              <w:contextualSpacing/>
              <w:rPr>
                <w:rFonts w:cs="Arial"/>
                <w:b w:val="0"/>
                <w:bCs/>
              </w:rPr>
            </w:pPr>
            <w:r w:rsidRPr="00FD47E8">
              <w:rPr>
                <w:rFonts w:cs="Arial"/>
                <w:b w:val="0"/>
                <w:bCs/>
              </w:rPr>
              <w:t xml:space="preserve">which tool or tools were </w:t>
            </w:r>
            <w:proofErr w:type="gramStart"/>
            <w:r w:rsidRPr="00FD47E8">
              <w:rPr>
                <w:rFonts w:cs="Arial"/>
                <w:b w:val="0"/>
                <w:bCs/>
              </w:rPr>
              <w:t>used;</w:t>
            </w:r>
            <w:proofErr w:type="gramEnd"/>
          </w:p>
          <w:p w14:paraId="5A5E8F13" w14:textId="77777777" w:rsidR="00B35EDD" w:rsidRPr="00FD47E8" w:rsidRDefault="00B35EDD" w:rsidP="008D7343">
            <w:pPr>
              <w:pStyle w:val="Subheading"/>
              <w:numPr>
                <w:ilvl w:val="0"/>
                <w:numId w:val="21"/>
              </w:numPr>
              <w:spacing w:before="0" w:after="0"/>
              <w:contextualSpacing/>
              <w:rPr>
                <w:rFonts w:cs="Arial"/>
                <w:b w:val="0"/>
                <w:bCs/>
              </w:rPr>
            </w:pPr>
            <w:r w:rsidRPr="00FD47E8">
              <w:rPr>
                <w:rFonts w:cs="Arial"/>
                <w:b w:val="0"/>
                <w:bCs/>
              </w:rPr>
              <w:t xml:space="preserve">which parts of the work GenAI </w:t>
            </w:r>
            <w:proofErr w:type="gramStart"/>
            <w:r w:rsidRPr="00FD47E8">
              <w:rPr>
                <w:rFonts w:cs="Arial"/>
                <w:b w:val="0"/>
                <w:bCs/>
              </w:rPr>
              <w:t>supported;</w:t>
            </w:r>
            <w:proofErr w:type="gramEnd"/>
          </w:p>
          <w:p w14:paraId="78A3B03A" w14:textId="77777777" w:rsidR="00B35EDD" w:rsidRPr="00FD47E8" w:rsidRDefault="00B35EDD" w:rsidP="008D7343">
            <w:pPr>
              <w:pStyle w:val="Subheading"/>
              <w:numPr>
                <w:ilvl w:val="0"/>
                <w:numId w:val="21"/>
              </w:numPr>
              <w:spacing w:before="0" w:after="0"/>
              <w:contextualSpacing/>
              <w:rPr>
                <w:rFonts w:cs="Arial"/>
                <w:b w:val="0"/>
                <w:bCs/>
              </w:rPr>
            </w:pPr>
            <w:r w:rsidRPr="00FD47E8">
              <w:rPr>
                <w:rFonts w:cs="Arial"/>
                <w:b w:val="0"/>
                <w:bCs/>
              </w:rPr>
              <w:t xml:space="preserve">how the group checked, revised, </w:t>
            </w:r>
            <w:proofErr w:type="spellStart"/>
            <w:r w:rsidRPr="00FD47E8">
              <w:rPr>
                <w:rFonts w:cs="Arial"/>
                <w:b w:val="0"/>
                <w:bCs/>
              </w:rPr>
              <w:t>contextualised</w:t>
            </w:r>
            <w:proofErr w:type="spellEnd"/>
            <w:r w:rsidRPr="00FD47E8">
              <w:rPr>
                <w:rFonts w:cs="Arial"/>
                <w:b w:val="0"/>
                <w:bCs/>
              </w:rPr>
              <w:t xml:space="preserve">, and integrated any GenAI-generated </w:t>
            </w:r>
            <w:proofErr w:type="gramStart"/>
            <w:r w:rsidRPr="00FD47E8">
              <w:rPr>
                <w:rFonts w:cs="Arial"/>
                <w:b w:val="0"/>
                <w:bCs/>
              </w:rPr>
              <w:t>material;</w:t>
            </w:r>
            <w:proofErr w:type="gramEnd"/>
          </w:p>
          <w:p w14:paraId="3AACA997" w14:textId="77777777" w:rsidR="00B35EDD" w:rsidRPr="00FD47E8" w:rsidRDefault="00B35EDD" w:rsidP="008D7343">
            <w:pPr>
              <w:pStyle w:val="Subheading"/>
              <w:numPr>
                <w:ilvl w:val="0"/>
                <w:numId w:val="21"/>
              </w:numPr>
              <w:spacing w:before="0" w:after="0"/>
              <w:contextualSpacing/>
              <w:rPr>
                <w:rFonts w:cs="Arial"/>
                <w:b w:val="0"/>
                <w:bCs/>
              </w:rPr>
            </w:pPr>
            <w:r w:rsidRPr="00FD47E8">
              <w:rPr>
                <w:rFonts w:cs="Arial"/>
                <w:b w:val="0"/>
                <w:bCs/>
              </w:rPr>
              <w:t>how the group ensured that all claims, sources, citations, and arguments were accurate and appropriate.</w:t>
            </w:r>
          </w:p>
          <w:p w14:paraId="0CF2DDC0" w14:textId="77777777" w:rsidR="00B35EDD" w:rsidRPr="00FD47E8" w:rsidRDefault="00B35EDD" w:rsidP="008D7343">
            <w:pPr>
              <w:pStyle w:val="Subheading"/>
              <w:spacing w:before="0" w:after="0"/>
              <w:contextualSpacing/>
              <w:rPr>
                <w:rFonts w:cs="Arial"/>
                <w:b w:val="0"/>
                <w:bCs/>
              </w:rPr>
            </w:pPr>
            <w:r w:rsidRPr="00FD47E8">
              <w:rPr>
                <w:rFonts w:cs="Arial"/>
                <w:b w:val="0"/>
                <w:bCs/>
              </w:rPr>
              <w:t>Students remain fully responsible for the quality, accuracy, originality, and academic integrity of all submitted work. GenAI may support the learning and writing process only within the permitted level for the assessment. It must not replace engagement with required readings, independent analysis, group discussion, or the development of evidence-informed arguments.</w:t>
            </w:r>
          </w:p>
          <w:p w14:paraId="5C31C4B2" w14:textId="77777777" w:rsidR="00B35EDD" w:rsidRPr="00FD47E8" w:rsidRDefault="00B35EDD" w:rsidP="008D7343">
            <w:pPr>
              <w:pStyle w:val="Subheading"/>
              <w:spacing w:before="0" w:after="0"/>
              <w:contextualSpacing/>
              <w:rPr>
                <w:rFonts w:cs="Arial"/>
                <w:b w:val="0"/>
                <w:bCs/>
              </w:rPr>
            </w:pPr>
            <w:r w:rsidRPr="00FD47E8">
              <w:rPr>
                <w:rFonts w:cs="Arial"/>
                <w:b w:val="0"/>
                <w:bCs/>
              </w:rPr>
              <w:t xml:space="preserve">Failure to declare GenAI use, or inappropriate use of GenAI outside the permitted assessment guidelines, may be treated as a matter of academic misconduct in line with </w:t>
            </w:r>
            <w:proofErr w:type="gramStart"/>
            <w:r w:rsidRPr="00FD47E8">
              <w:rPr>
                <w:rFonts w:cs="Arial"/>
                <w:b w:val="0"/>
                <w:bCs/>
              </w:rPr>
              <w:t>College</w:t>
            </w:r>
            <w:proofErr w:type="gramEnd"/>
            <w:r w:rsidRPr="00FD47E8">
              <w:rPr>
                <w:rFonts w:cs="Arial"/>
                <w:b w:val="0"/>
                <w:bCs/>
              </w:rPr>
              <w:t xml:space="preserve"> regulations.</w:t>
            </w:r>
          </w:p>
          <w:p w14:paraId="7C53D879" w14:textId="77777777" w:rsidR="00B35EDD" w:rsidRPr="00FD47E8" w:rsidRDefault="00B35EDD" w:rsidP="008D7343">
            <w:pPr>
              <w:pStyle w:val="Subheading"/>
              <w:spacing w:before="0" w:after="0"/>
              <w:contextualSpacing/>
              <w:rPr>
                <w:rFonts w:cs="Arial"/>
                <w:b w:val="0"/>
                <w:bCs/>
              </w:rPr>
            </w:pPr>
            <w:r w:rsidRPr="00FD47E8">
              <w:rPr>
                <w:rFonts w:cs="Arial"/>
                <w:b w:val="0"/>
                <w:bCs/>
              </w:rPr>
              <w:t>If the module leader has concerns about the authenticity, authorship, or integrity of submitted work, students may be asked to provide evidence of their process and contribution. This may include one or more of the following:</w:t>
            </w:r>
          </w:p>
          <w:p w14:paraId="37A484CE" w14:textId="77777777" w:rsidR="00B35EDD" w:rsidRPr="00FD47E8" w:rsidRDefault="00B35EDD" w:rsidP="008D7343">
            <w:pPr>
              <w:pStyle w:val="Subheading"/>
              <w:numPr>
                <w:ilvl w:val="0"/>
                <w:numId w:val="22"/>
              </w:numPr>
              <w:spacing w:before="0" w:after="0"/>
              <w:contextualSpacing/>
              <w:rPr>
                <w:rFonts w:cs="Arial"/>
                <w:b w:val="0"/>
                <w:bCs/>
              </w:rPr>
            </w:pPr>
            <w:r w:rsidRPr="00FD47E8">
              <w:rPr>
                <w:rFonts w:cs="Arial"/>
                <w:b w:val="0"/>
                <w:bCs/>
              </w:rPr>
              <w:t xml:space="preserve">a reflective account of their learning and contribution, using Gibbs’ reflective model, of approximately 1,000 to 2,000 </w:t>
            </w:r>
            <w:proofErr w:type="gramStart"/>
            <w:r w:rsidRPr="00FD47E8">
              <w:rPr>
                <w:rFonts w:cs="Arial"/>
                <w:b w:val="0"/>
                <w:bCs/>
              </w:rPr>
              <w:t>words;</w:t>
            </w:r>
            <w:proofErr w:type="gramEnd"/>
          </w:p>
          <w:p w14:paraId="3D87AD6D" w14:textId="77777777" w:rsidR="00B35EDD" w:rsidRPr="00FD47E8" w:rsidRDefault="00B35EDD" w:rsidP="008D7343">
            <w:pPr>
              <w:pStyle w:val="Subheading"/>
              <w:numPr>
                <w:ilvl w:val="0"/>
                <w:numId w:val="22"/>
              </w:numPr>
              <w:spacing w:before="0" w:after="0"/>
              <w:contextualSpacing/>
              <w:rPr>
                <w:rFonts w:cs="Arial"/>
                <w:b w:val="0"/>
                <w:bCs/>
              </w:rPr>
            </w:pPr>
            <w:r w:rsidRPr="00FD47E8">
              <w:rPr>
                <w:rFonts w:cs="Arial"/>
                <w:b w:val="0"/>
                <w:bCs/>
              </w:rPr>
              <w:t xml:space="preserve">a 10-minute video presentation explaining the </w:t>
            </w:r>
            <w:proofErr w:type="gramStart"/>
            <w:r w:rsidRPr="00FD47E8">
              <w:rPr>
                <w:rFonts w:cs="Arial"/>
                <w:b w:val="0"/>
                <w:bCs/>
              </w:rPr>
              <w:t>assessment;</w:t>
            </w:r>
            <w:proofErr w:type="gramEnd"/>
          </w:p>
          <w:p w14:paraId="1914F93B" w14:textId="77777777" w:rsidR="00B35EDD" w:rsidRPr="00FD47E8" w:rsidRDefault="00B35EDD" w:rsidP="008D7343">
            <w:pPr>
              <w:pStyle w:val="Subheading"/>
              <w:numPr>
                <w:ilvl w:val="0"/>
                <w:numId w:val="22"/>
              </w:numPr>
              <w:spacing w:before="0" w:after="0"/>
              <w:contextualSpacing/>
              <w:rPr>
                <w:rFonts w:cs="Arial"/>
                <w:b w:val="0"/>
                <w:bCs/>
              </w:rPr>
            </w:pPr>
            <w:r w:rsidRPr="00FD47E8">
              <w:rPr>
                <w:rFonts w:cs="Arial"/>
                <w:b w:val="0"/>
                <w:bCs/>
              </w:rPr>
              <w:t>a 10-minute question-and-answer discussion about the assessment, either online or in person.</w:t>
            </w:r>
          </w:p>
          <w:p w14:paraId="79BCB95C" w14:textId="2A9F3A62" w:rsidR="000876F2" w:rsidRPr="00FD47E8" w:rsidRDefault="00B35EDD" w:rsidP="008D7343">
            <w:pPr>
              <w:pStyle w:val="Subheading"/>
              <w:spacing w:before="0" w:after="0"/>
              <w:contextualSpacing/>
              <w:rPr>
                <w:rFonts w:cs="Arial"/>
                <w:b w:val="0"/>
                <w:bCs/>
              </w:rPr>
            </w:pPr>
            <w:r w:rsidRPr="00FD47E8">
              <w:rPr>
                <w:rFonts w:cs="Arial"/>
                <w:b w:val="0"/>
                <w:bCs/>
              </w:rPr>
              <w:t xml:space="preserve">These measures are intended to verify authorship, understanding, and appropriate engagement with the assessment. </w:t>
            </w:r>
          </w:p>
        </w:tc>
      </w:tr>
    </w:tbl>
    <w:p w14:paraId="0A202D36" w14:textId="77777777" w:rsidR="006D3442" w:rsidRPr="00FD47E8" w:rsidRDefault="006D3442" w:rsidP="008D7343">
      <w:pPr>
        <w:pStyle w:val="SectionHeading"/>
        <w:spacing w:before="0" w:after="0" w:line="240" w:lineRule="auto"/>
        <w:contextualSpacing/>
        <w:rPr>
          <w:rFonts w:cs="Arial"/>
          <w:color w:val="auto"/>
        </w:rPr>
      </w:pPr>
    </w:p>
    <w:p w14:paraId="4DCC8EF2" w14:textId="77777777" w:rsidR="006D3442" w:rsidRPr="00FD47E8" w:rsidRDefault="006D3442" w:rsidP="008D7343">
      <w:pPr>
        <w:spacing w:after="0" w:line="240" w:lineRule="auto"/>
        <w:contextualSpacing/>
        <w:rPr>
          <w:rFonts w:cs="Arial"/>
          <w:b/>
          <w:sz w:val="24"/>
        </w:rPr>
      </w:pPr>
      <w:r w:rsidRPr="00FD47E8">
        <w:rPr>
          <w:rFonts w:cs="Arial"/>
        </w:rPr>
        <w:br w:type="page"/>
      </w:r>
    </w:p>
    <w:p w14:paraId="0CD1C798" w14:textId="0F731A81" w:rsidR="0051410F" w:rsidRPr="00FD47E8" w:rsidRDefault="00C663C6" w:rsidP="008D7343">
      <w:pPr>
        <w:pStyle w:val="SectionHeading"/>
        <w:spacing w:before="0" w:after="0" w:line="240" w:lineRule="auto"/>
        <w:contextualSpacing/>
        <w:rPr>
          <w:rFonts w:cs="Arial"/>
          <w:color w:val="auto"/>
        </w:rPr>
      </w:pPr>
      <w:r w:rsidRPr="00FD47E8">
        <w:rPr>
          <w:rFonts w:cs="Arial"/>
          <w:color w:val="auto"/>
        </w:rPr>
        <w:lastRenderedPageBreak/>
        <w:t>ASSESSMENT</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2698BA63" w14:textId="77777777">
        <w:trPr>
          <w:cantSplit/>
          <w:jc w:val="center"/>
        </w:trPr>
        <w:tc>
          <w:tcPr>
            <w:tcW w:w="10080" w:type="dxa"/>
            <w:shd w:val="clear" w:color="auto" w:fill="F7F7F7"/>
          </w:tcPr>
          <w:p w14:paraId="66E2D1D5" w14:textId="53FBF4B0" w:rsidR="0051410F" w:rsidRPr="00FD47E8" w:rsidRDefault="00C663C6" w:rsidP="008D7343">
            <w:pPr>
              <w:spacing w:after="0" w:line="240" w:lineRule="auto"/>
              <w:contextualSpacing/>
              <w:rPr>
                <w:rFonts w:cs="Arial"/>
                <w:szCs w:val="20"/>
              </w:rPr>
            </w:pPr>
            <w:r w:rsidRPr="00FD47E8">
              <w:rPr>
                <w:rFonts w:cs="Arial"/>
                <w:szCs w:val="20"/>
              </w:rPr>
              <w:t>The assessment of this module i</w:t>
            </w:r>
            <w:r w:rsidR="004E0937" w:rsidRPr="00FD47E8">
              <w:rPr>
                <w:rFonts w:cs="Arial"/>
                <w:szCs w:val="20"/>
              </w:rPr>
              <w:t>ncludes one group assignment (</w:t>
            </w:r>
            <w:r w:rsidR="003D4509" w:rsidRPr="00FD47E8">
              <w:rPr>
                <w:rFonts w:cs="Arial"/>
                <w:szCs w:val="20"/>
              </w:rPr>
              <w:t>25</w:t>
            </w:r>
            <w:r w:rsidR="004E0937" w:rsidRPr="00FD47E8">
              <w:rPr>
                <w:rFonts w:cs="Arial"/>
                <w:szCs w:val="20"/>
              </w:rPr>
              <w:t>%) and one final exam (7</w:t>
            </w:r>
            <w:r w:rsidR="003D4509" w:rsidRPr="00FD47E8">
              <w:rPr>
                <w:rFonts w:cs="Arial"/>
                <w:szCs w:val="20"/>
              </w:rPr>
              <w:t>5</w:t>
            </w:r>
            <w:r w:rsidR="004E0937" w:rsidRPr="00FD47E8">
              <w:rPr>
                <w:rFonts w:cs="Arial"/>
                <w:szCs w:val="20"/>
              </w:rPr>
              <w:t>%)</w:t>
            </w:r>
            <w:r w:rsidR="008D7343">
              <w:rPr>
                <w:rFonts w:cs="Arial"/>
                <w:szCs w:val="20"/>
              </w:rPr>
              <w:t>.</w:t>
            </w:r>
          </w:p>
        </w:tc>
      </w:tr>
    </w:tbl>
    <w:p w14:paraId="3E39F5E1" w14:textId="77777777" w:rsidR="008D7343" w:rsidRDefault="008D7343" w:rsidP="008D7343">
      <w:pPr>
        <w:pStyle w:val="Subheading"/>
        <w:spacing w:before="0" w:after="0" w:line="240" w:lineRule="auto"/>
        <w:contextualSpacing/>
        <w:rPr>
          <w:rFonts w:cs="Arial"/>
        </w:rPr>
      </w:pPr>
    </w:p>
    <w:p w14:paraId="75C65CA7" w14:textId="03C52C1D" w:rsidR="004E0937" w:rsidRPr="00FD47E8" w:rsidRDefault="00C663C6" w:rsidP="008D7343">
      <w:pPr>
        <w:pStyle w:val="Subheading"/>
        <w:spacing w:before="0" w:after="0" w:line="240" w:lineRule="auto"/>
        <w:contextualSpacing/>
        <w:rPr>
          <w:rFonts w:cs="Arial"/>
        </w:rPr>
      </w:pPr>
      <w:r w:rsidRPr="00FD47E8">
        <w:rPr>
          <w:rFonts w:cs="Arial"/>
        </w:rPr>
        <w:t xml:space="preserve">Assessment 1: </w:t>
      </w:r>
      <w:r w:rsidR="004E0937" w:rsidRPr="00FD47E8">
        <w:rPr>
          <w:rFonts w:cs="Arial"/>
        </w:rPr>
        <w:t>Group Leadership Case Analysis</w:t>
      </w:r>
      <w:r w:rsidRPr="00FD47E8">
        <w:rPr>
          <w:rFonts w:cs="Arial"/>
        </w:rPr>
        <w:t xml:space="preserve"> </w:t>
      </w:r>
      <w:r w:rsidR="004E0937" w:rsidRPr="00FD47E8">
        <w:rPr>
          <w:rFonts w:cs="Arial"/>
        </w:rPr>
        <w:t>–</w:t>
      </w:r>
      <w:r w:rsidRPr="00FD47E8">
        <w:rPr>
          <w:rFonts w:cs="Arial"/>
        </w:rPr>
        <w:t xml:space="preserve"> </w:t>
      </w:r>
      <w:r w:rsidR="003D4509" w:rsidRPr="00FD47E8">
        <w:rPr>
          <w:rFonts w:cs="Arial"/>
        </w:rPr>
        <w:t>25</w:t>
      </w:r>
      <w:r w:rsidR="004E0937" w:rsidRPr="00FD47E8">
        <w:rPr>
          <w:rFonts w:cs="Arial"/>
        </w:rPr>
        <w:t>%</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082E09A4" w14:textId="77777777">
        <w:trPr>
          <w:cantSplit/>
          <w:jc w:val="center"/>
        </w:trPr>
        <w:tc>
          <w:tcPr>
            <w:tcW w:w="10080" w:type="dxa"/>
            <w:shd w:val="clear" w:color="auto" w:fill="F7F7F7"/>
          </w:tcPr>
          <w:p w14:paraId="03173029" w14:textId="4D60105E" w:rsidR="00546997" w:rsidRPr="00FD47E8" w:rsidRDefault="00C81872" w:rsidP="008D7343">
            <w:pPr>
              <w:pStyle w:val="Instruction"/>
              <w:spacing w:after="0" w:line="240" w:lineRule="auto"/>
              <w:contextualSpacing/>
              <w:rPr>
                <w:rFonts w:cs="Arial"/>
                <w:i w:val="0"/>
                <w:color w:val="auto"/>
                <w:sz w:val="20"/>
                <w:szCs w:val="20"/>
              </w:rPr>
            </w:pPr>
            <w:r w:rsidRPr="00FD47E8">
              <w:rPr>
                <w:rFonts w:cs="Arial"/>
                <w:i w:val="0"/>
                <w:color w:val="auto"/>
                <w:sz w:val="20"/>
                <w:szCs w:val="20"/>
              </w:rPr>
              <w:t xml:space="preserve">This is a group-based assessment. Students will work in groups of approximately 5–6 students to </w:t>
            </w:r>
            <w:proofErr w:type="spellStart"/>
            <w:r w:rsidRPr="00FD47E8">
              <w:rPr>
                <w:rFonts w:cs="Arial"/>
                <w:i w:val="0"/>
                <w:color w:val="auto"/>
                <w:sz w:val="20"/>
                <w:szCs w:val="20"/>
              </w:rPr>
              <w:t>analyse</w:t>
            </w:r>
            <w:proofErr w:type="spellEnd"/>
            <w:r w:rsidRPr="00FD47E8">
              <w:rPr>
                <w:rFonts w:cs="Arial"/>
                <w:i w:val="0"/>
                <w:color w:val="auto"/>
                <w:sz w:val="20"/>
                <w:szCs w:val="20"/>
              </w:rPr>
              <w:t xml:space="preserve"> one approved real-world leadership case from a list provided by the module lecturer.</w:t>
            </w:r>
            <w:r w:rsidR="00912993" w:rsidRPr="00FD47E8">
              <w:rPr>
                <w:rFonts w:cs="Arial"/>
                <w:i w:val="0"/>
                <w:color w:val="auto"/>
                <w:sz w:val="20"/>
                <w:szCs w:val="20"/>
              </w:rPr>
              <w:t xml:space="preserve"> </w:t>
            </w:r>
            <w:r w:rsidRPr="00FD47E8">
              <w:rPr>
                <w:rFonts w:cs="Arial"/>
                <w:i w:val="0"/>
                <w:color w:val="auto"/>
                <w:sz w:val="20"/>
                <w:szCs w:val="20"/>
              </w:rPr>
              <w:t>The purpose of the task is to assess students’ ability to apply leadership theories and concepts to a real organizational situation. The assignment requires students to use theory to diagnose a leadership challenge, evaluate leadership actions and outcomes, and develop evidence-based recommendations.</w:t>
            </w:r>
            <w:r w:rsidR="007210B7" w:rsidRPr="00FD47E8">
              <w:rPr>
                <w:rFonts w:cs="Arial"/>
                <w:i w:val="0"/>
                <w:color w:val="auto"/>
                <w:sz w:val="20"/>
                <w:szCs w:val="20"/>
              </w:rPr>
              <w:t xml:space="preserve"> Practitioner resources may be used to support examples and practical recommendations, but the main theoretical analysis must be grounded in module readings and credible academic sources.</w:t>
            </w:r>
          </w:p>
          <w:p w14:paraId="6946F6E7" w14:textId="77777777" w:rsidR="00F11E67" w:rsidRPr="00FD47E8" w:rsidRDefault="00F11E67" w:rsidP="008D7343">
            <w:pPr>
              <w:pStyle w:val="Instruction"/>
              <w:spacing w:after="0" w:line="240" w:lineRule="auto"/>
              <w:contextualSpacing/>
              <w:rPr>
                <w:rFonts w:cs="Arial"/>
                <w:i w:val="0"/>
                <w:color w:val="auto"/>
                <w:sz w:val="20"/>
                <w:szCs w:val="20"/>
              </w:rPr>
            </w:pPr>
          </w:p>
          <w:p w14:paraId="19630DC8" w14:textId="05CABA77" w:rsidR="00546997" w:rsidRPr="00FD47E8" w:rsidRDefault="00C81872" w:rsidP="008D7343">
            <w:pPr>
              <w:pStyle w:val="Instruction"/>
              <w:spacing w:after="0" w:line="240" w:lineRule="auto"/>
              <w:contextualSpacing/>
              <w:rPr>
                <w:rFonts w:cs="Arial"/>
                <w:i w:val="0"/>
                <w:color w:val="auto"/>
                <w:sz w:val="20"/>
                <w:szCs w:val="20"/>
              </w:rPr>
            </w:pPr>
            <w:r w:rsidRPr="00FD47E8">
              <w:rPr>
                <w:rFonts w:cs="Arial"/>
                <w:i w:val="0"/>
                <w:color w:val="auto"/>
                <w:sz w:val="20"/>
                <w:szCs w:val="20"/>
              </w:rPr>
              <w:t>The expected output is a written group report. The report should be 2,000 words maximum, excluding references. It should include: a brief overview of the case and leadership challenge; application of three leadership concepts from the module; critical evaluation of the leadership actions and outcomes; and two evidence-based recommendations.</w:t>
            </w:r>
            <w:r w:rsidR="00B12891" w:rsidRPr="00FD47E8">
              <w:rPr>
                <w:rFonts w:cs="Arial"/>
                <w:i w:val="0"/>
                <w:color w:val="auto"/>
                <w:sz w:val="20"/>
                <w:szCs w:val="20"/>
              </w:rPr>
              <w:t xml:space="preserve"> </w:t>
            </w:r>
            <w:r w:rsidR="0063312A" w:rsidRPr="00FD47E8">
              <w:rPr>
                <w:rFonts w:cs="Arial"/>
                <w:i w:val="0"/>
                <w:color w:val="auto"/>
                <w:sz w:val="20"/>
                <w:szCs w:val="20"/>
              </w:rPr>
              <w:t>More details are found on Blackboard</w:t>
            </w:r>
            <w:r w:rsidR="0059254E" w:rsidRPr="00FD47E8">
              <w:rPr>
                <w:rFonts w:cs="Arial"/>
                <w:i w:val="0"/>
                <w:color w:val="auto"/>
                <w:sz w:val="20"/>
                <w:szCs w:val="20"/>
              </w:rPr>
              <w:t xml:space="preserve">, including the grading rubric. There are no sample assignments from previous years. </w:t>
            </w:r>
          </w:p>
          <w:p w14:paraId="1EE873D2" w14:textId="77777777" w:rsidR="00F11E67" w:rsidRPr="00FD47E8" w:rsidRDefault="00F11E67" w:rsidP="008D7343">
            <w:pPr>
              <w:pStyle w:val="Instruction"/>
              <w:spacing w:after="0" w:line="240" w:lineRule="auto"/>
              <w:contextualSpacing/>
              <w:rPr>
                <w:rFonts w:cs="Arial"/>
                <w:i w:val="0"/>
                <w:color w:val="auto"/>
                <w:sz w:val="20"/>
                <w:szCs w:val="20"/>
              </w:rPr>
            </w:pPr>
          </w:p>
          <w:p w14:paraId="6A0B26FB" w14:textId="77777777" w:rsidR="00B6597D" w:rsidRPr="00FD47E8" w:rsidRDefault="00C81872" w:rsidP="008D7343">
            <w:pPr>
              <w:pStyle w:val="Instruction"/>
              <w:spacing w:after="0" w:line="240" w:lineRule="auto"/>
              <w:contextualSpacing/>
              <w:rPr>
                <w:rFonts w:cs="Arial"/>
                <w:i w:val="0"/>
                <w:color w:val="auto"/>
                <w:sz w:val="20"/>
                <w:szCs w:val="20"/>
              </w:rPr>
            </w:pPr>
            <w:r w:rsidRPr="00FD47E8">
              <w:rPr>
                <w:rFonts w:cs="Arial"/>
                <w:i w:val="0"/>
                <w:color w:val="auto"/>
                <w:sz w:val="20"/>
                <w:szCs w:val="20"/>
              </w:rPr>
              <w:t xml:space="preserve">The report should be submitted electronically via the module’s online submission system by the stated deadline. Only one report should be submitted per group. The work submitted must be the group’s own work. All sources must be properly cited and referenced. </w:t>
            </w:r>
          </w:p>
          <w:p w14:paraId="3A6AF390" w14:textId="77777777" w:rsidR="00F11E67" w:rsidRPr="00FD47E8" w:rsidRDefault="00F11E67" w:rsidP="008D7343">
            <w:pPr>
              <w:pStyle w:val="Instruction"/>
              <w:spacing w:after="0" w:line="240" w:lineRule="auto"/>
              <w:contextualSpacing/>
              <w:rPr>
                <w:rFonts w:cs="Arial"/>
                <w:i w:val="0"/>
                <w:color w:val="auto"/>
                <w:sz w:val="20"/>
                <w:szCs w:val="20"/>
              </w:rPr>
            </w:pPr>
          </w:p>
          <w:p w14:paraId="4E0A9CCB" w14:textId="61EFABCD" w:rsidR="001C362B" w:rsidRPr="00FD47E8" w:rsidRDefault="001C362B" w:rsidP="008D7343">
            <w:pPr>
              <w:pStyle w:val="Instruction"/>
              <w:spacing w:after="0" w:line="240" w:lineRule="auto"/>
              <w:contextualSpacing/>
              <w:rPr>
                <w:rFonts w:cs="Arial"/>
                <w:i w:val="0"/>
                <w:color w:val="auto"/>
                <w:sz w:val="20"/>
                <w:szCs w:val="20"/>
              </w:rPr>
            </w:pPr>
            <w:r w:rsidRPr="00FD47E8">
              <w:rPr>
                <w:rFonts w:cs="Arial"/>
                <w:i w:val="0"/>
                <w:color w:val="auto"/>
                <w:sz w:val="20"/>
                <w:szCs w:val="20"/>
              </w:rPr>
              <w:t xml:space="preserve">All group members are expected to contribute meaningfully. Groups should keep a brief record of meetings and contributions. Where serious contribution issues arise, students should raise them with the lecturer before submission. The </w:t>
            </w:r>
            <w:proofErr w:type="gramStart"/>
            <w:r w:rsidRPr="00FD47E8">
              <w:rPr>
                <w:rFonts w:cs="Arial"/>
                <w:i w:val="0"/>
                <w:color w:val="auto"/>
                <w:sz w:val="20"/>
                <w:szCs w:val="20"/>
              </w:rPr>
              <w:t>School’s</w:t>
            </w:r>
            <w:proofErr w:type="gramEnd"/>
            <w:r w:rsidRPr="00FD47E8">
              <w:rPr>
                <w:rFonts w:cs="Arial"/>
                <w:i w:val="0"/>
                <w:color w:val="auto"/>
                <w:sz w:val="20"/>
                <w:szCs w:val="20"/>
              </w:rPr>
              <w:t xml:space="preserve"> procedures on group work, non-contribution, and academic integrity will apply. A peer-contribution form may be used if required.</w:t>
            </w:r>
          </w:p>
        </w:tc>
      </w:tr>
    </w:tbl>
    <w:p w14:paraId="4CC276DA" w14:textId="77777777" w:rsidR="008D7343" w:rsidRDefault="008D7343" w:rsidP="008D7343">
      <w:pPr>
        <w:pStyle w:val="Subheading"/>
        <w:spacing w:before="0" w:after="0" w:line="240" w:lineRule="auto"/>
        <w:contextualSpacing/>
        <w:rPr>
          <w:rFonts w:cs="Arial"/>
        </w:rPr>
      </w:pPr>
    </w:p>
    <w:p w14:paraId="69348FA6" w14:textId="03E6EA98" w:rsidR="0051410F" w:rsidRPr="00FD47E8" w:rsidRDefault="00C663C6" w:rsidP="008D7343">
      <w:pPr>
        <w:pStyle w:val="Subheading"/>
        <w:spacing w:before="0" w:after="0" w:line="240" w:lineRule="auto"/>
        <w:contextualSpacing/>
        <w:rPr>
          <w:rFonts w:cs="Arial"/>
        </w:rPr>
      </w:pPr>
      <w:r w:rsidRPr="00FD47E8">
        <w:rPr>
          <w:rFonts w:cs="Arial"/>
        </w:rPr>
        <w:t>Submission Requirements</w:t>
      </w:r>
    </w:p>
    <w:p w14:paraId="2077C08D" w14:textId="5CB4F6D0" w:rsidR="0051410F" w:rsidRPr="00FD47E8" w:rsidRDefault="00C663C6" w:rsidP="008D7343">
      <w:pPr>
        <w:pStyle w:val="ListBullet"/>
        <w:spacing w:after="0" w:line="240" w:lineRule="auto"/>
        <w:rPr>
          <w:rFonts w:cs="Arial"/>
        </w:rPr>
      </w:pPr>
      <w:r w:rsidRPr="00FD47E8">
        <w:rPr>
          <w:rFonts w:cs="Arial"/>
        </w:rPr>
        <w:t>Assessment to be submitted through Blackboard</w:t>
      </w:r>
      <w:r w:rsidR="00821080" w:rsidRPr="00FD47E8">
        <w:rPr>
          <w:rFonts w:cs="Arial"/>
        </w:rPr>
        <w:t xml:space="preserve"> (one per group)</w:t>
      </w:r>
      <w:r w:rsidRPr="00FD47E8">
        <w:rPr>
          <w:rFonts w:cs="Arial"/>
        </w:rPr>
        <w:t>.</w:t>
      </w:r>
    </w:p>
    <w:p w14:paraId="77E07295" w14:textId="77777777" w:rsidR="00EF5D3B" w:rsidRPr="00FD47E8" w:rsidRDefault="00EF5D3B" w:rsidP="008D7343">
      <w:pPr>
        <w:pStyle w:val="ListBullet"/>
        <w:spacing w:after="0" w:line="240" w:lineRule="auto"/>
        <w:rPr>
          <w:rFonts w:cs="Arial"/>
        </w:rPr>
      </w:pPr>
      <w:r w:rsidRPr="00FD47E8">
        <w:rPr>
          <w:rFonts w:cs="Arial"/>
        </w:rPr>
        <w:t xml:space="preserve">The report should be 2,000 words maximum, excluding references and the GenAI declaration </w:t>
      </w:r>
      <w:proofErr w:type="spellStart"/>
      <w:r w:rsidRPr="00FD47E8">
        <w:rPr>
          <w:rFonts w:cs="Arial"/>
        </w:rPr>
        <w:t>appendix.</w:t>
      </w:r>
      <w:r w:rsidRPr="00FD47E8">
        <w:rPr>
          <w:rFonts w:cs="Arial"/>
        </w:rPr>
        <w:t xml:space="preserve"> </w:t>
      </w:r>
      <w:proofErr w:type="spellEnd"/>
    </w:p>
    <w:p w14:paraId="2C8C717A" w14:textId="22F04DAC" w:rsidR="0051410F" w:rsidRPr="00FD47E8" w:rsidRDefault="00C663C6" w:rsidP="008D7343">
      <w:pPr>
        <w:pStyle w:val="ListBullet"/>
        <w:spacing w:after="0" w:line="240" w:lineRule="auto"/>
        <w:rPr>
          <w:rFonts w:cs="Arial"/>
        </w:rPr>
      </w:pPr>
      <w:r w:rsidRPr="00FD47E8">
        <w:rPr>
          <w:rFonts w:cs="Arial"/>
        </w:rPr>
        <w:t>A declaration of authorship must accompany all submitted work.</w:t>
      </w:r>
    </w:p>
    <w:p w14:paraId="22EA1D07" w14:textId="77777777" w:rsidR="0051410F" w:rsidRPr="00FD47E8" w:rsidRDefault="00C663C6" w:rsidP="008D7343">
      <w:pPr>
        <w:pStyle w:val="ListBullet"/>
        <w:spacing w:after="0" w:line="240" w:lineRule="auto"/>
        <w:rPr>
          <w:rFonts w:cs="Arial"/>
        </w:rPr>
      </w:pPr>
      <w:r w:rsidRPr="00FD47E8">
        <w:rPr>
          <w:rFonts w:cs="Arial"/>
        </w:rPr>
        <w:t>All use of digital tools, AI applications, data sources, analytical platforms or GenAI tools must be declared and referenced in line with the AI Policy and permitted GenAI level specified for this module/assessment.</w:t>
      </w:r>
    </w:p>
    <w:p w14:paraId="0A6868DE" w14:textId="77777777" w:rsidR="0051410F" w:rsidRDefault="00C663C6" w:rsidP="008D7343">
      <w:pPr>
        <w:pStyle w:val="ListBullet"/>
        <w:spacing w:after="0" w:line="240" w:lineRule="auto"/>
        <w:rPr>
          <w:rFonts w:cs="Arial"/>
        </w:rPr>
      </w:pPr>
      <w:r w:rsidRPr="00FD47E8">
        <w:rPr>
          <w:rFonts w:cs="Arial"/>
        </w:rPr>
        <w:t>Students must read and acknowledge TCD academic regulations, including those relating to plagiarism and academic integrity.</w:t>
      </w:r>
    </w:p>
    <w:p w14:paraId="731AB7D2" w14:textId="54D3B333" w:rsidR="009E0937" w:rsidRPr="00FD47E8" w:rsidRDefault="009E0937" w:rsidP="008D7343">
      <w:pPr>
        <w:pStyle w:val="ListBullet"/>
        <w:spacing w:after="0" w:line="240" w:lineRule="auto"/>
        <w:rPr>
          <w:rFonts w:cs="Arial"/>
        </w:rPr>
      </w:pPr>
      <w:r>
        <w:rPr>
          <w:rFonts w:cs="Arial"/>
        </w:rPr>
        <w:t>This assessment is due on December 4</w:t>
      </w:r>
      <w:r w:rsidRPr="009E0937">
        <w:rPr>
          <w:rFonts w:cs="Arial"/>
          <w:vertAlign w:val="superscript"/>
        </w:rPr>
        <w:t>th</w:t>
      </w:r>
      <w:r>
        <w:rPr>
          <w:rFonts w:cs="Arial"/>
        </w:rPr>
        <w:t xml:space="preserve">, </w:t>
      </w:r>
      <w:proofErr w:type="gramStart"/>
      <w:r>
        <w:rPr>
          <w:rFonts w:cs="Arial"/>
        </w:rPr>
        <w:t>2026</w:t>
      </w:r>
      <w:proofErr w:type="gramEnd"/>
      <w:r>
        <w:rPr>
          <w:rFonts w:cs="Arial"/>
        </w:rPr>
        <w:t xml:space="preserve"> midnight, Dublin time. </w:t>
      </w:r>
    </w:p>
    <w:p w14:paraId="513F961D" w14:textId="77777777" w:rsidR="006D3442" w:rsidRPr="00FD47E8" w:rsidRDefault="006D3442" w:rsidP="008D7343">
      <w:pPr>
        <w:spacing w:after="0" w:line="240" w:lineRule="auto"/>
        <w:contextualSpacing/>
        <w:rPr>
          <w:rFonts w:cs="Arial"/>
          <w:b/>
        </w:rPr>
      </w:pPr>
      <w:r w:rsidRPr="00FD47E8">
        <w:rPr>
          <w:rFonts w:cs="Arial"/>
        </w:rPr>
        <w:br w:type="page"/>
      </w:r>
    </w:p>
    <w:p w14:paraId="263F5E55" w14:textId="5F7A1AAC" w:rsidR="0051410F" w:rsidRPr="00FD47E8" w:rsidRDefault="00C663C6" w:rsidP="008D7343">
      <w:pPr>
        <w:pStyle w:val="Subheading"/>
        <w:spacing w:before="0" w:after="0" w:line="240" w:lineRule="auto"/>
        <w:contextualSpacing/>
        <w:rPr>
          <w:rFonts w:cs="Arial"/>
        </w:rPr>
      </w:pPr>
      <w:r w:rsidRPr="00FD47E8">
        <w:rPr>
          <w:rFonts w:cs="Arial"/>
        </w:rPr>
        <w:lastRenderedPageBreak/>
        <w:t xml:space="preserve">Assessment 2: </w:t>
      </w:r>
      <w:r w:rsidR="005F20D1" w:rsidRPr="00FD47E8">
        <w:rPr>
          <w:rFonts w:cs="Arial"/>
        </w:rPr>
        <w:t>Final Exam</w:t>
      </w:r>
      <w:r w:rsidRPr="00FD47E8">
        <w:rPr>
          <w:rFonts w:cs="Arial"/>
        </w:rPr>
        <w:t xml:space="preserve"> </w:t>
      </w:r>
      <w:r w:rsidR="005F20D1" w:rsidRPr="00FD47E8">
        <w:rPr>
          <w:rFonts w:cs="Arial"/>
        </w:rPr>
        <w:t>–</w:t>
      </w:r>
      <w:r w:rsidRPr="00FD47E8">
        <w:rPr>
          <w:rFonts w:cs="Arial"/>
        </w:rPr>
        <w:t xml:space="preserve"> </w:t>
      </w:r>
      <w:r w:rsidR="005F20D1" w:rsidRPr="00FD47E8">
        <w:rPr>
          <w:rFonts w:cs="Arial"/>
        </w:rPr>
        <w:t>7</w:t>
      </w:r>
      <w:r w:rsidR="003D4509" w:rsidRPr="00FD47E8">
        <w:rPr>
          <w:rFonts w:cs="Arial"/>
        </w:rPr>
        <w:t>5</w:t>
      </w:r>
      <w:r w:rsidR="005F20D1" w:rsidRPr="00FD47E8">
        <w:rPr>
          <w:rFonts w:cs="Arial"/>
        </w:rPr>
        <w:t>%</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30FE7A9B" w14:textId="77777777">
        <w:trPr>
          <w:cantSplit/>
          <w:jc w:val="center"/>
        </w:trPr>
        <w:tc>
          <w:tcPr>
            <w:tcW w:w="10080" w:type="dxa"/>
            <w:shd w:val="clear" w:color="auto" w:fill="F7F7F7"/>
          </w:tcPr>
          <w:p w14:paraId="5F85D9BF" w14:textId="75DF919F" w:rsidR="00912993" w:rsidRPr="00FD47E8" w:rsidRDefault="00C81872" w:rsidP="008D7343">
            <w:pPr>
              <w:pStyle w:val="Instruction"/>
              <w:spacing w:after="0" w:line="240" w:lineRule="auto"/>
              <w:contextualSpacing/>
              <w:rPr>
                <w:rFonts w:cs="Arial"/>
                <w:i w:val="0"/>
                <w:color w:val="auto"/>
                <w:sz w:val="20"/>
                <w:szCs w:val="20"/>
              </w:rPr>
            </w:pPr>
            <w:r w:rsidRPr="00FD47E8">
              <w:rPr>
                <w:rFonts w:cs="Arial"/>
                <w:i w:val="0"/>
                <w:color w:val="auto"/>
                <w:sz w:val="20"/>
                <w:szCs w:val="20"/>
              </w:rPr>
              <w:t>This is an individual assessment. The final examination assesses students’ knowledge and understanding of leadership concepts across the full module.</w:t>
            </w:r>
            <w:r w:rsidR="00CC5F53" w:rsidRPr="00FD47E8">
              <w:rPr>
                <w:rFonts w:cs="Arial"/>
                <w:i w:val="0"/>
                <w:color w:val="auto"/>
                <w:sz w:val="20"/>
                <w:szCs w:val="20"/>
              </w:rPr>
              <w:t xml:space="preserve"> </w:t>
            </w:r>
          </w:p>
          <w:p w14:paraId="5F04E41F" w14:textId="77777777" w:rsidR="00546997" w:rsidRPr="00FD47E8" w:rsidRDefault="00546997" w:rsidP="008D7343">
            <w:pPr>
              <w:pStyle w:val="Instruction"/>
              <w:spacing w:after="0" w:line="240" w:lineRule="auto"/>
              <w:contextualSpacing/>
              <w:rPr>
                <w:rFonts w:cs="Arial"/>
                <w:i w:val="0"/>
                <w:color w:val="auto"/>
                <w:sz w:val="20"/>
                <w:szCs w:val="20"/>
              </w:rPr>
            </w:pPr>
          </w:p>
          <w:p w14:paraId="5D260DAD" w14:textId="2ACD65A3" w:rsidR="00912993" w:rsidRPr="00FD47E8" w:rsidRDefault="00C81872" w:rsidP="008D7343">
            <w:pPr>
              <w:pStyle w:val="Instruction"/>
              <w:spacing w:after="0" w:line="240" w:lineRule="auto"/>
              <w:contextualSpacing/>
              <w:rPr>
                <w:rFonts w:cs="Arial"/>
                <w:i w:val="0"/>
                <w:color w:val="auto"/>
                <w:sz w:val="20"/>
                <w:szCs w:val="20"/>
              </w:rPr>
            </w:pPr>
            <w:r w:rsidRPr="00FD47E8">
              <w:rPr>
                <w:rFonts w:cs="Arial"/>
                <w:i w:val="0"/>
                <w:color w:val="auto"/>
                <w:sz w:val="20"/>
                <w:szCs w:val="20"/>
              </w:rPr>
              <w:t>The purpose of the exam is to assess breadth of understanding, conceptual accuracy, and the ability to explain and apply leadership theories. The exam ensures that each student is individually assessed on their understanding of the material covered in the module.</w:t>
            </w:r>
          </w:p>
          <w:p w14:paraId="5D73927A" w14:textId="77777777" w:rsidR="00546997" w:rsidRPr="00FD47E8" w:rsidRDefault="00546997" w:rsidP="008D7343">
            <w:pPr>
              <w:pStyle w:val="Instruction"/>
              <w:spacing w:after="0" w:line="240" w:lineRule="auto"/>
              <w:contextualSpacing/>
              <w:rPr>
                <w:rFonts w:cs="Arial"/>
                <w:i w:val="0"/>
                <w:color w:val="auto"/>
                <w:sz w:val="20"/>
                <w:szCs w:val="20"/>
              </w:rPr>
            </w:pPr>
          </w:p>
          <w:p w14:paraId="36CD5D5C" w14:textId="2499FFCF" w:rsidR="00546997" w:rsidRPr="00FD47E8" w:rsidRDefault="00C81872" w:rsidP="008D7343">
            <w:pPr>
              <w:pStyle w:val="Instruction"/>
              <w:spacing w:after="0" w:line="240" w:lineRule="auto"/>
              <w:contextualSpacing/>
              <w:rPr>
                <w:rFonts w:cs="Arial"/>
                <w:i w:val="0"/>
                <w:color w:val="auto"/>
                <w:sz w:val="20"/>
                <w:szCs w:val="20"/>
              </w:rPr>
            </w:pPr>
            <w:r w:rsidRPr="00FD47E8">
              <w:rPr>
                <w:rFonts w:cs="Arial"/>
                <w:i w:val="0"/>
                <w:color w:val="auto"/>
                <w:sz w:val="20"/>
                <w:szCs w:val="20"/>
              </w:rPr>
              <w:t xml:space="preserve">The exam is two hours in duration and contains two sections. Section A consists of </w:t>
            </w:r>
            <w:r w:rsidR="002D7912" w:rsidRPr="00FD47E8">
              <w:rPr>
                <w:rFonts w:cs="Arial"/>
                <w:i w:val="0"/>
                <w:color w:val="auto"/>
                <w:sz w:val="20"/>
                <w:szCs w:val="20"/>
              </w:rPr>
              <w:t>45</w:t>
            </w:r>
            <w:r w:rsidRPr="00FD47E8">
              <w:rPr>
                <w:rFonts w:cs="Arial"/>
                <w:i w:val="0"/>
                <w:color w:val="auto"/>
                <w:sz w:val="20"/>
                <w:szCs w:val="20"/>
              </w:rPr>
              <w:t xml:space="preserve"> multiple-choice questions, each worth 1 mark. Section B consists of short-answer questions. Students answer </w:t>
            </w:r>
            <w:r w:rsidR="002D7912" w:rsidRPr="00FD47E8">
              <w:rPr>
                <w:rFonts w:cs="Arial"/>
                <w:i w:val="0"/>
                <w:color w:val="auto"/>
                <w:sz w:val="20"/>
                <w:szCs w:val="20"/>
              </w:rPr>
              <w:t>3</w:t>
            </w:r>
            <w:r w:rsidRPr="00FD47E8">
              <w:rPr>
                <w:rFonts w:cs="Arial"/>
                <w:i w:val="0"/>
                <w:color w:val="auto"/>
                <w:sz w:val="20"/>
                <w:szCs w:val="20"/>
              </w:rPr>
              <w:t xml:space="preserve"> questions from a choice of 4, with each short answer worth 10 marks. Short answers should demonstrate clear understanding of relevant leadership concepts and, where appropriate, apply those concepts to examples or short scenarios.</w:t>
            </w:r>
            <w:r w:rsidR="00CC5F53" w:rsidRPr="00FD47E8">
              <w:rPr>
                <w:rFonts w:cs="Arial"/>
                <w:i w:val="0"/>
                <w:color w:val="auto"/>
                <w:sz w:val="20"/>
                <w:szCs w:val="20"/>
              </w:rPr>
              <w:t xml:space="preserve"> Students are expected to draw on the required textbook readings, lectures, </w:t>
            </w:r>
            <w:r w:rsidR="00EE62B1" w:rsidRPr="00FD47E8">
              <w:rPr>
                <w:rFonts w:cs="Arial"/>
                <w:i w:val="0"/>
                <w:color w:val="auto"/>
                <w:sz w:val="20"/>
                <w:szCs w:val="20"/>
              </w:rPr>
              <w:t xml:space="preserve">and </w:t>
            </w:r>
            <w:r w:rsidR="00CC5F53" w:rsidRPr="00FD47E8">
              <w:rPr>
                <w:rFonts w:cs="Arial"/>
                <w:i w:val="0"/>
                <w:color w:val="auto"/>
                <w:sz w:val="20"/>
                <w:szCs w:val="20"/>
              </w:rPr>
              <w:t>class discussion</w:t>
            </w:r>
            <w:r w:rsidR="00EE62B1" w:rsidRPr="00FD47E8">
              <w:rPr>
                <w:rFonts w:cs="Arial"/>
                <w:i w:val="0"/>
                <w:color w:val="auto"/>
                <w:sz w:val="20"/>
                <w:szCs w:val="20"/>
              </w:rPr>
              <w:t>s</w:t>
            </w:r>
            <w:r w:rsidR="00CC5F53" w:rsidRPr="00FD47E8">
              <w:rPr>
                <w:rFonts w:cs="Arial"/>
                <w:i w:val="0"/>
                <w:color w:val="auto"/>
                <w:sz w:val="20"/>
                <w:szCs w:val="20"/>
              </w:rPr>
              <w:t>. The exam may assess topics from the entire duration of the semester, both in slides and required reading materials.</w:t>
            </w:r>
          </w:p>
          <w:p w14:paraId="5F17B33E" w14:textId="77777777" w:rsidR="00CC5F53" w:rsidRPr="00FD47E8" w:rsidRDefault="00CC5F53" w:rsidP="008D7343">
            <w:pPr>
              <w:pStyle w:val="Instruction"/>
              <w:spacing w:after="0" w:line="240" w:lineRule="auto"/>
              <w:contextualSpacing/>
              <w:rPr>
                <w:rFonts w:cs="Arial"/>
                <w:i w:val="0"/>
                <w:color w:val="auto"/>
                <w:sz w:val="20"/>
                <w:szCs w:val="20"/>
              </w:rPr>
            </w:pPr>
          </w:p>
          <w:p w14:paraId="6812B6DF" w14:textId="515EE9E9" w:rsidR="0051410F" w:rsidRPr="00FD47E8" w:rsidRDefault="00C81872" w:rsidP="008D7343">
            <w:pPr>
              <w:pStyle w:val="Instruction"/>
              <w:spacing w:after="0" w:line="240" w:lineRule="auto"/>
              <w:contextualSpacing/>
              <w:rPr>
                <w:rFonts w:cs="Arial"/>
                <w:i w:val="0"/>
                <w:color w:val="auto"/>
                <w:sz w:val="20"/>
                <w:szCs w:val="20"/>
              </w:rPr>
            </w:pPr>
            <w:r w:rsidRPr="00FD47E8">
              <w:rPr>
                <w:rFonts w:cs="Arial"/>
                <w:i w:val="0"/>
                <w:color w:val="auto"/>
                <w:sz w:val="20"/>
                <w:szCs w:val="20"/>
              </w:rPr>
              <w:t xml:space="preserve">The exam will be completed according to the university’s examination procedures and submitted through the approved examination system or venue, as specified by the </w:t>
            </w:r>
            <w:proofErr w:type="gramStart"/>
            <w:r w:rsidRPr="00FD47E8">
              <w:rPr>
                <w:rFonts w:cs="Arial"/>
                <w:i w:val="0"/>
                <w:color w:val="auto"/>
                <w:sz w:val="20"/>
                <w:szCs w:val="20"/>
              </w:rPr>
              <w:t>School</w:t>
            </w:r>
            <w:proofErr w:type="gramEnd"/>
            <w:r w:rsidRPr="00FD47E8">
              <w:rPr>
                <w:rFonts w:cs="Arial"/>
                <w:i w:val="0"/>
                <w:color w:val="auto"/>
                <w:sz w:val="20"/>
                <w:szCs w:val="20"/>
              </w:rPr>
              <w:t>.</w:t>
            </w:r>
            <w:r w:rsidR="007E0129" w:rsidRPr="00FD47E8">
              <w:rPr>
                <w:rFonts w:cs="Arial"/>
                <w:i w:val="0"/>
                <w:color w:val="auto"/>
                <w:sz w:val="20"/>
                <w:szCs w:val="20"/>
              </w:rPr>
              <w:t xml:space="preserve"> Students must complete the exam independently and must not communicate with other students during the exam. The use of unauthorized materials, unauthorized collaboration, or generative AI tools during the exam is not permitted. Standard university academic integrity regulations apply.</w:t>
            </w:r>
          </w:p>
        </w:tc>
      </w:tr>
    </w:tbl>
    <w:p w14:paraId="19F19B2A" w14:textId="77777777" w:rsidR="008D7343" w:rsidRDefault="008D7343" w:rsidP="008D7343">
      <w:pPr>
        <w:pStyle w:val="SectionHeading"/>
        <w:spacing w:before="0" w:after="0" w:line="240" w:lineRule="auto"/>
        <w:contextualSpacing/>
        <w:rPr>
          <w:rFonts w:cs="Arial"/>
          <w:color w:val="auto"/>
        </w:rPr>
      </w:pPr>
    </w:p>
    <w:p w14:paraId="66896050" w14:textId="5B56546C" w:rsidR="0051410F" w:rsidRPr="00FD47E8" w:rsidRDefault="00C663C6" w:rsidP="008D7343">
      <w:pPr>
        <w:pStyle w:val="SectionHeading"/>
        <w:spacing w:before="0" w:after="0" w:line="240" w:lineRule="auto"/>
        <w:contextualSpacing/>
        <w:rPr>
          <w:rFonts w:cs="Arial"/>
          <w:color w:val="auto"/>
        </w:rPr>
      </w:pPr>
      <w:r w:rsidRPr="00FD47E8">
        <w:rPr>
          <w:rFonts w:cs="Arial"/>
          <w:color w:val="auto"/>
        </w:rPr>
        <w:t>SUPPLEMENTAL ASSESSMENT OVERVIEW</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3472C286" w14:textId="77777777">
        <w:trPr>
          <w:cantSplit/>
          <w:jc w:val="center"/>
        </w:trPr>
        <w:tc>
          <w:tcPr>
            <w:tcW w:w="10080" w:type="dxa"/>
            <w:shd w:val="clear" w:color="auto" w:fill="F7F7F7"/>
          </w:tcPr>
          <w:p w14:paraId="4B3BA523" w14:textId="77777777" w:rsidR="0051410F" w:rsidRPr="00FD47E8" w:rsidRDefault="00821080" w:rsidP="008D7343">
            <w:pPr>
              <w:spacing w:after="0" w:line="240" w:lineRule="auto"/>
              <w:contextualSpacing/>
              <w:rPr>
                <w:rFonts w:cs="Arial"/>
                <w:szCs w:val="20"/>
              </w:rPr>
            </w:pPr>
            <w:r w:rsidRPr="00FD47E8">
              <w:rPr>
                <w:rFonts w:cs="Arial"/>
                <w:szCs w:val="20"/>
              </w:rPr>
              <w:t>Students who do not pass this module must take a supplemental examination.</w:t>
            </w:r>
            <w:r w:rsidR="00546997" w:rsidRPr="00FD47E8">
              <w:rPr>
                <w:rFonts w:cs="Arial"/>
                <w:szCs w:val="20"/>
              </w:rPr>
              <w:t xml:space="preserve"> Students will pass the module with a grade of 40% or above, across the two assessments. </w:t>
            </w:r>
          </w:p>
          <w:p w14:paraId="5890BFBC" w14:textId="77777777" w:rsidR="00096970" w:rsidRPr="00FD47E8" w:rsidRDefault="00096970" w:rsidP="008D7343">
            <w:pPr>
              <w:spacing w:after="0" w:line="240" w:lineRule="auto"/>
              <w:contextualSpacing/>
              <w:rPr>
                <w:rFonts w:cs="Arial"/>
                <w:szCs w:val="20"/>
              </w:rPr>
            </w:pPr>
          </w:p>
          <w:p w14:paraId="3F40CFDA" w14:textId="6A89BF4B" w:rsidR="00096970" w:rsidRPr="00FD47E8" w:rsidRDefault="00096970" w:rsidP="008D7343">
            <w:pPr>
              <w:spacing w:after="0" w:line="240" w:lineRule="auto"/>
              <w:contextualSpacing/>
              <w:rPr>
                <w:rFonts w:cs="Arial"/>
                <w:szCs w:val="20"/>
              </w:rPr>
            </w:pPr>
            <w:r w:rsidRPr="00FD47E8">
              <w:rPr>
                <w:rFonts w:cs="Arial"/>
              </w:rPr>
              <w:t xml:space="preserve">The supplemental assessment will be an individual examination. The format and weighting will follow School regulations and will be confirmed by the </w:t>
            </w:r>
            <w:proofErr w:type="gramStart"/>
            <w:r w:rsidRPr="00FD47E8">
              <w:rPr>
                <w:rFonts w:cs="Arial"/>
              </w:rPr>
              <w:t>School</w:t>
            </w:r>
            <w:proofErr w:type="gramEnd"/>
            <w:r w:rsidRPr="00FD47E8">
              <w:rPr>
                <w:rFonts w:cs="Arial"/>
              </w:rPr>
              <w:t>. Where applicable, coursework marks may be carried forward in line with College/School policy.</w:t>
            </w:r>
          </w:p>
        </w:tc>
      </w:tr>
    </w:tbl>
    <w:p w14:paraId="319D70D6" w14:textId="77777777" w:rsidR="0051410F" w:rsidRPr="00FD47E8" w:rsidRDefault="00C663C6" w:rsidP="008D7343">
      <w:pPr>
        <w:spacing w:after="0" w:line="240" w:lineRule="auto"/>
        <w:contextualSpacing/>
        <w:rPr>
          <w:rFonts w:cs="Arial"/>
        </w:rPr>
      </w:pPr>
      <w:r w:rsidRPr="00FD47E8">
        <w:rPr>
          <w:rFonts w:cs="Arial"/>
        </w:rPr>
        <w:br w:type="page"/>
      </w:r>
    </w:p>
    <w:p w14:paraId="6558B829" w14:textId="117BA70E" w:rsidR="0051410F" w:rsidRPr="00FD47E8" w:rsidRDefault="00C663C6" w:rsidP="008D7343">
      <w:pPr>
        <w:pStyle w:val="SectionHeading"/>
        <w:spacing w:before="0" w:after="0" w:line="240" w:lineRule="auto"/>
        <w:contextualSpacing/>
        <w:rPr>
          <w:rFonts w:cs="Arial"/>
          <w:color w:val="auto"/>
        </w:rPr>
      </w:pPr>
      <w:r w:rsidRPr="00FD47E8">
        <w:rPr>
          <w:rFonts w:cs="Arial"/>
          <w:color w:val="auto"/>
        </w:rPr>
        <w:lastRenderedPageBreak/>
        <w:t>INDICATIVE MODULE SCHEDULE</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46"/>
        <w:gridCol w:w="1984"/>
        <w:gridCol w:w="7240"/>
      </w:tblGrid>
      <w:tr w:rsidR="005329D1" w:rsidRPr="00FD47E8" w14:paraId="10369E62" w14:textId="77777777" w:rsidTr="005329D1">
        <w:trPr>
          <w:cantSplit/>
          <w:jc w:val="center"/>
        </w:trPr>
        <w:tc>
          <w:tcPr>
            <w:tcW w:w="846" w:type="dxa"/>
            <w:shd w:val="clear" w:color="auto" w:fill="D9EAF7"/>
          </w:tcPr>
          <w:p w14:paraId="179DF4B5" w14:textId="74D9C8CC" w:rsidR="0051410F" w:rsidRPr="00FD47E8" w:rsidRDefault="00C663C6" w:rsidP="008D7343">
            <w:pPr>
              <w:spacing w:after="0" w:line="240" w:lineRule="auto"/>
              <w:contextualSpacing/>
              <w:rPr>
                <w:rFonts w:cs="Arial"/>
              </w:rPr>
            </w:pPr>
            <w:r w:rsidRPr="00FD47E8">
              <w:rPr>
                <w:rFonts w:cs="Arial"/>
                <w:b/>
                <w:sz w:val="18"/>
              </w:rPr>
              <w:t>Week</w:t>
            </w:r>
          </w:p>
        </w:tc>
        <w:tc>
          <w:tcPr>
            <w:tcW w:w="1984" w:type="dxa"/>
            <w:shd w:val="clear" w:color="auto" w:fill="D9EAF7"/>
          </w:tcPr>
          <w:p w14:paraId="21C1883E" w14:textId="5D714BD2" w:rsidR="0051410F" w:rsidRPr="00FD47E8" w:rsidRDefault="00C663C6" w:rsidP="008D7343">
            <w:pPr>
              <w:spacing w:after="0" w:line="240" w:lineRule="auto"/>
              <w:contextualSpacing/>
              <w:rPr>
                <w:rFonts w:cs="Arial"/>
              </w:rPr>
            </w:pPr>
            <w:r w:rsidRPr="00FD47E8">
              <w:rPr>
                <w:rFonts w:cs="Arial"/>
                <w:b/>
                <w:sz w:val="18"/>
              </w:rPr>
              <w:t>Topi</w:t>
            </w:r>
            <w:r w:rsidR="00B12F99" w:rsidRPr="00FD47E8">
              <w:rPr>
                <w:rFonts w:cs="Arial"/>
                <w:b/>
                <w:sz w:val="18"/>
              </w:rPr>
              <w:t>c</w:t>
            </w:r>
          </w:p>
        </w:tc>
        <w:tc>
          <w:tcPr>
            <w:tcW w:w="7240" w:type="dxa"/>
            <w:shd w:val="clear" w:color="auto" w:fill="D9EAF7"/>
          </w:tcPr>
          <w:p w14:paraId="189466C0" w14:textId="6B189EE2" w:rsidR="0051410F" w:rsidRPr="00FD47E8" w:rsidRDefault="00C663C6" w:rsidP="008D7343">
            <w:pPr>
              <w:spacing w:after="0" w:line="240" w:lineRule="auto"/>
              <w:contextualSpacing/>
              <w:rPr>
                <w:rFonts w:cs="Arial"/>
              </w:rPr>
            </w:pPr>
            <w:r w:rsidRPr="00FD47E8">
              <w:rPr>
                <w:rFonts w:cs="Arial"/>
                <w:b/>
                <w:sz w:val="18"/>
              </w:rPr>
              <w:t>Outline</w:t>
            </w:r>
            <w:r w:rsidR="00B12F99" w:rsidRPr="00FD47E8">
              <w:rPr>
                <w:rFonts w:cs="Arial"/>
                <w:b/>
                <w:sz w:val="18"/>
              </w:rPr>
              <w:t xml:space="preserve"> &amp; Mandatory Reading </w:t>
            </w:r>
          </w:p>
        </w:tc>
      </w:tr>
      <w:tr w:rsidR="005329D1" w:rsidRPr="00FD47E8" w14:paraId="41A50025" w14:textId="77777777" w:rsidTr="005329D1">
        <w:trPr>
          <w:cantSplit/>
          <w:jc w:val="center"/>
        </w:trPr>
        <w:tc>
          <w:tcPr>
            <w:tcW w:w="846" w:type="dxa"/>
          </w:tcPr>
          <w:p w14:paraId="1A66C5C8" w14:textId="77777777" w:rsidR="0051410F" w:rsidRPr="00FD47E8" w:rsidRDefault="00C663C6" w:rsidP="008D7343">
            <w:pPr>
              <w:spacing w:after="0" w:line="240" w:lineRule="auto"/>
              <w:contextualSpacing/>
              <w:rPr>
                <w:rFonts w:cs="Arial"/>
              </w:rPr>
            </w:pPr>
            <w:r w:rsidRPr="00FD47E8">
              <w:rPr>
                <w:rFonts w:cs="Arial"/>
                <w:sz w:val="18"/>
              </w:rPr>
              <w:t>1</w:t>
            </w:r>
          </w:p>
        </w:tc>
        <w:tc>
          <w:tcPr>
            <w:tcW w:w="1984" w:type="dxa"/>
          </w:tcPr>
          <w:p w14:paraId="73BE5BA0" w14:textId="78E15987" w:rsidR="0051410F" w:rsidRPr="00FD47E8" w:rsidRDefault="00C47BEA" w:rsidP="008D7343">
            <w:pPr>
              <w:spacing w:after="0" w:line="240" w:lineRule="auto"/>
              <w:contextualSpacing/>
              <w:rPr>
                <w:rFonts w:cs="Arial"/>
                <w:sz w:val="18"/>
              </w:rPr>
            </w:pPr>
            <w:r w:rsidRPr="00FD47E8">
              <w:rPr>
                <w:rFonts w:cs="Arial"/>
                <w:sz w:val="18"/>
              </w:rPr>
              <w:t xml:space="preserve">Foundational Leadership Theories </w:t>
            </w:r>
          </w:p>
        </w:tc>
        <w:tc>
          <w:tcPr>
            <w:tcW w:w="7240" w:type="dxa"/>
          </w:tcPr>
          <w:p w14:paraId="6D587D64" w14:textId="37DAE8D7" w:rsidR="00B12F99" w:rsidRPr="00FD47E8" w:rsidRDefault="00B12F99" w:rsidP="008D7343">
            <w:pPr>
              <w:pStyle w:val="ListParagraph"/>
              <w:numPr>
                <w:ilvl w:val="0"/>
                <w:numId w:val="18"/>
              </w:numPr>
              <w:spacing w:after="0" w:line="240" w:lineRule="auto"/>
              <w:rPr>
                <w:rFonts w:cs="Arial"/>
                <w:sz w:val="18"/>
              </w:rPr>
            </w:pPr>
            <w:r w:rsidRPr="00FD47E8">
              <w:rPr>
                <w:rFonts w:cs="Arial"/>
                <w:sz w:val="18"/>
              </w:rPr>
              <w:t>Defin</w:t>
            </w:r>
            <w:r w:rsidR="005936C1" w:rsidRPr="00FD47E8">
              <w:rPr>
                <w:rFonts w:cs="Arial"/>
                <w:sz w:val="18"/>
              </w:rPr>
              <w:t>e</w:t>
            </w:r>
            <w:r w:rsidRPr="00FD47E8">
              <w:rPr>
                <w:rFonts w:cs="Arial"/>
                <w:sz w:val="18"/>
              </w:rPr>
              <w:t xml:space="preserve"> leadership and the evolution of its </w:t>
            </w:r>
            <w:proofErr w:type="gramStart"/>
            <w:r w:rsidRPr="00FD47E8">
              <w:rPr>
                <w:rFonts w:cs="Arial"/>
                <w:sz w:val="18"/>
              </w:rPr>
              <w:t>study</w:t>
            </w:r>
            <w:r w:rsidR="00FE3020" w:rsidRPr="00FD47E8">
              <w:rPr>
                <w:rFonts w:cs="Arial"/>
                <w:sz w:val="18"/>
              </w:rPr>
              <w:t>;</w:t>
            </w:r>
            <w:proofErr w:type="gramEnd"/>
            <w:r w:rsidR="00FE3020" w:rsidRPr="00FD47E8">
              <w:rPr>
                <w:rFonts w:cs="Arial"/>
                <w:sz w:val="18"/>
              </w:rPr>
              <w:t xml:space="preserve"> k</w:t>
            </w:r>
            <w:r w:rsidRPr="00FD47E8">
              <w:rPr>
                <w:rFonts w:cs="Arial"/>
                <w:sz w:val="18"/>
              </w:rPr>
              <w:t xml:space="preserve">ey leadership frameworks </w:t>
            </w:r>
          </w:p>
          <w:p w14:paraId="68CDFE63" w14:textId="65DB414F" w:rsidR="00B12F99" w:rsidRPr="00FD47E8" w:rsidRDefault="00B12F99" w:rsidP="008D7343">
            <w:pPr>
              <w:pStyle w:val="ListParagraph"/>
              <w:numPr>
                <w:ilvl w:val="0"/>
                <w:numId w:val="18"/>
              </w:numPr>
              <w:spacing w:after="0" w:line="240" w:lineRule="auto"/>
              <w:rPr>
                <w:rFonts w:cs="Arial"/>
                <w:sz w:val="18"/>
              </w:rPr>
            </w:pPr>
            <w:r w:rsidRPr="00FD47E8">
              <w:rPr>
                <w:rFonts w:cs="Arial"/>
                <w:sz w:val="18"/>
              </w:rPr>
              <w:t xml:space="preserve">Read Northouse Ch 1 &amp; respond to </w:t>
            </w:r>
            <w:r w:rsidR="00C57601" w:rsidRPr="00FD47E8">
              <w:rPr>
                <w:rFonts w:cs="Arial"/>
                <w:sz w:val="18"/>
              </w:rPr>
              <w:t xml:space="preserve">questions in </w:t>
            </w:r>
            <w:r w:rsidRPr="00FD47E8">
              <w:rPr>
                <w:rFonts w:cs="Arial"/>
                <w:sz w:val="18"/>
              </w:rPr>
              <w:t xml:space="preserve">case 1.1. </w:t>
            </w:r>
          </w:p>
        </w:tc>
      </w:tr>
      <w:tr w:rsidR="005329D1" w:rsidRPr="00FD47E8" w14:paraId="1A5DD6AC" w14:textId="77777777" w:rsidTr="005329D1">
        <w:trPr>
          <w:cantSplit/>
          <w:jc w:val="center"/>
        </w:trPr>
        <w:tc>
          <w:tcPr>
            <w:tcW w:w="846" w:type="dxa"/>
          </w:tcPr>
          <w:p w14:paraId="72035FA8" w14:textId="77777777" w:rsidR="0051410F" w:rsidRPr="00FD47E8" w:rsidRDefault="00C663C6" w:rsidP="008D7343">
            <w:pPr>
              <w:spacing w:after="0" w:line="240" w:lineRule="auto"/>
              <w:contextualSpacing/>
              <w:rPr>
                <w:rFonts w:cs="Arial"/>
              </w:rPr>
            </w:pPr>
            <w:r w:rsidRPr="00FD47E8">
              <w:rPr>
                <w:rFonts w:cs="Arial"/>
                <w:sz w:val="18"/>
              </w:rPr>
              <w:t>2</w:t>
            </w:r>
          </w:p>
        </w:tc>
        <w:tc>
          <w:tcPr>
            <w:tcW w:w="1984" w:type="dxa"/>
          </w:tcPr>
          <w:p w14:paraId="0679B688" w14:textId="76A08362" w:rsidR="0051410F" w:rsidRPr="00FD47E8" w:rsidRDefault="003657C0" w:rsidP="008D7343">
            <w:pPr>
              <w:spacing w:after="0" w:line="240" w:lineRule="auto"/>
              <w:contextualSpacing/>
              <w:rPr>
                <w:rFonts w:cs="Arial"/>
                <w:sz w:val="18"/>
              </w:rPr>
            </w:pPr>
            <w:r w:rsidRPr="00FD47E8">
              <w:rPr>
                <w:rFonts w:cs="Arial"/>
                <w:sz w:val="18"/>
              </w:rPr>
              <w:t xml:space="preserve">Trait and </w:t>
            </w:r>
            <w:r w:rsidR="005902C9" w:rsidRPr="00FD47E8">
              <w:rPr>
                <w:rFonts w:cs="Arial"/>
                <w:sz w:val="18"/>
              </w:rPr>
              <w:t xml:space="preserve">Behavioral </w:t>
            </w:r>
            <w:r w:rsidRPr="00FD47E8">
              <w:rPr>
                <w:rFonts w:cs="Arial"/>
                <w:sz w:val="18"/>
              </w:rPr>
              <w:t xml:space="preserve">Approaches </w:t>
            </w:r>
          </w:p>
        </w:tc>
        <w:tc>
          <w:tcPr>
            <w:tcW w:w="7240" w:type="dxa"/>
          </w:tcPr>
          <w:p w14:paraId="1A68B37A" w14:textId="77777777" w:rsidR="003657C0" w:rsidRPr="00FD47E8" w:rsidRDefault="003657C0" w:rsidP="008D7343">
            <w:pPr>
              <w:pStyle w:val="ListParagraph"/>
              <w:numPr>
                <w:ilvl w:val="0"/>
                <w:numId w:val="18"/>
              </w:numPr>
              <w:spacing w:after="0" w:line="240" w:lineRule="auto"/>
              <w:rPr>
                <w:rFonts w:cs="Arial"/>
                <w:sz w:val="18"/>
              </w:rPr>
            </w:pPr>
            <w:r w:rsidRPr="00FD47E8">
              <w:rPr>
                <w:rFonts w:cs="Arial"/>
                <w:sz w:val="18"/>
              </w:rPr>
              <w:t xml:space="preserve">Describe each leadership theory/approach, how they work in practice, and their strengths and limitations </w:t>
            </w:r>
          </w:p>
          <w:p w14:paraId="065C34AF" w14:textId="1339DD5C" w:rsidR="00B12F99" w:rsidRPr="00FD47E8" w:rsidRDefault="003657C0" w:rsidP="008D7343">
            <w:pPr>
              <w:pStyle w:val="ListParagraph"/>
              <w:numPr>
                <w:ilvl w:val="0"/>
                <w:numId w:val="18"/>
              </w:numPr>
              <w:spacing w:after="0" w:line="240" w:lineRule="auto"/>
              <w:rPr>
                <w:rFonts w:cs="Arial"/>
                <w:sz w:val="18"/>
              </w:rPr>
            </w:pPr>
            <w:r w:rsidRPr="00FD47E8">
              <w:rPr>
                <w:rFonts w:cs="Arial"/>
                <w:sz w:val="18"/>
              </w:rPr>
              <w:t xml:space="preserve">Read Northouse Ch 2 &amp; </w:t>
            </w:r>
            <w:r w:rsidR="005902C9" w:rsidRPr="00FD47E8">
              <w:rPr>
                <w:rFonts w:cs="Arial"/>
                <w:sz w:val="18"/>
              </w:rPr>
              <w:t>4</w:t>
            </w:r>
            <w:r w:rsidRPr="00FD47E8">
              <w:rPr>
                <w:rFonts w:cs="Arial"/>
                <w:sz w:val="18"/>
              </w:rPr>
              <w:t xml:space="preserve"> and respond to </w:t>
            </w:r>
            <w:r w:rsidR="00C57601" w:rsidRPr="00FD47E8">
              <w:rPr>
                <w:rFonts w:cs="Arial"/>
                <w:sz w:val="18"/>
              </w:rPr>
              <w:t xml:space="preserve">questions in </w:t>
            </w:r>
            <w:r w:rsidRPr="00FD47E8">
              <w:rPr>
                <w:rFonts w:cs="Arial"/>
                <w:sz w:val="18"/>
              </w:rPr>
              <w:t>case</w:t>
            </w:r>
            <w:r w:rsidR="00C57601" w:rsidRPr="00FD47E8">
              <w:rPr>
                <w:rFonts w:cs="Arial"/>
                <w:sz w:val="18"/>
              </w:rPr>
              <w:t>s</w:t>
            </w:r>
            <w:r w:rsidRPr="00FD47E8">
              <w:rPr>
                <w:rFonts w:cs="Arial"/>
                <w:sz w:val="18"/>
              </w:rPr>
              <w:t xml:space="preserve"> 2.1 and </w:t>
            </w:r>
            <w:r w:rsidR="005902C9" w:rsidRPr="00FD47E8">
              <w:rPr>
                <w:rFonts w:cs="Arial"/>
                <w:sz w:val="18"/>
              </w:rPr>
              <w:t xml:space="preserve">4.2 </w:t>
            </w:r>
          </w:p>
        </w:tc>
      </w:tr>
      <w:tr w:rsidR="003657C0" w:rsidRPr="00FD47E8" w14:paraId="37474DFD" w14:textId="77777777" w:rsidTr="005329D1">
        <w:trPr>
          <w:cantSplit/>
          <w:jc w:val="center"/>
        </w:trPr>
        <w:tc>
          <w:tcPr>
            <w:tcW w:w="846" w:type="dxa"/>
          </w:tcPr>
          <w:p w14:paraId="1D0147B3" w14:textId="77777777" w:rsidR="003657C0" w:rsidRPr="00FD47E8" w:rsidRDefault="003657C0" w:rsidP="008D7343">
            <w:pPr>
              <w:spacing w:after="0" w:line="240" w:lineRule="auto"/>
              <w:contextualSpacing/>
              <w:rPr>
                <w:rFonts w:cs="Arial"/>
              </w:rPr>
            </w:pPr>
            <w:r w:rsidRPr="00FD47E8">
              <w:rPr>
                <w:rFonts w:cs="Arial"/>
                <w:sz w:val="18"/>
              </w:rPr>
              <w:t>3</w:t>
            </w:r>
          </w:p>
        </w:tc>
        <w:tc>
          <w:tcPr>
            <w:tcW w:w="1984" w:type="dxa"/>
          </w:tcPr>
          <w:p w14:paraId="55284EE1" w14:textId="3C6EEADA" w:rsidR="003657C0" w:rsidRPr="00FD47E8" w:rsidRDefault="003657C0" w:rsidP="008D7343">
            <w:pPr>
              <w:spacing w:after="0" w:line="240" w:lineRule="auto"/>
              <w:contextualSpacing/>
              <w:rPr>
                <w:rFonts w:cs="Arial"/>
                <w:sz w:val="18"/>
              </w:rPr>
            </w:pPr>
            <w:r w:rsidRPr="00FD47E8">
              <w:rPr>
                <w:rFonts w:cs="Arial"/>
                <w:sz w:val="18"/>
              </w:rPr>
              <w:t xml:space="preserve">Situational Approach and Path-Goal Theory </w:t>
            </w:r>
          </w:p>
        </w:tc>
        <w:tc>
          <w:tcPr>
            <w:tcW w:w="7240" w:type="dxa"/>
          </w:tcPr>
          <w:p w14:paraId="0634828B" w14:textId="77777777" w:rsidR="003657C0" w:rsidRPr="00FD47E8" w:rsidRDefault="003657C0" w:rsidP="008D7343">
            <w:pPr>
              <w:pStyle w:val="ListParagraph"/>
              <w:numPr>
                <w:ilvl w:val="0"/>
                <w:numId w:val="18"/>
              </w:numPr>
              <w:spacing w:after="0" w:line="240" w:lineRule="auto"/>
              <w:rPr>
                <w:rFonts w:cs="Arial"/>
                <w:sz w:val="18"/>
              </w:rPr>
            </w:pPr>
            <w:r w:rsidRPr="00FD47E8">
              <w:rPr>
                <w:rFonts w:cs="Arial"/>
                <w:sz w:val="18"/>
              </w:rPr>
              <w:t xml:space="preserve">Describe each leadership theory/approach, how they work in practice, and their strengths and limitations </w:t>
            </w:r>
          </w:p>
          <w:p w14:paraId="0666F811" w14:textId="15C09F8F" w:rsidR="003657C0" w:rsidRPr="00FD47E8" w:rsidRDefault="003657C0" w:rsidP="008D7343">
            <w:pPr>
              <w:pStyle w:val="ListParagraph"/>
              <w:numPr>
                <w:ilvl w:val="0"/>
                <w:numId w:val="18"/>
              </w:numPr>
              <w:spacing w:after="0" w:line="240" w:lineRule="auto"/>
              <w:rPr>
                <w:rFonts w:cs="Arial"/>
                <w:sz w:val="18"/>
              </w:rPr>
            </w:pPr>
            <w:r w:rsidRPr="00FD47E8">
              <w:rPr>
                <w:rFonts w:cs="Arial"/>
                <w:sz w:val="18"/>
              </w:rPr>
              <w:t xml:space="preserve">Read Northouse Ch 5 &amp; 6; respond to </w:t>
            </w:r>
            <w:r w:rsidR="00C57601" w:rsidRPr="00FD47E8">
              <w:rPr>
                <w:rFonts w:cs="Arial"/>
                <w:sz w:val="18"/>
              </w:rPr>
              <w:t>questions in cases</w:t>
            </w:r>
            <w:r w:rsidRPr="00FD47E8">
              <w:rPr>
                <w:rFonts w:cs="Arial"/>
                <w:sz w:val="18"/>
              </w:rPr>
              <w:t xml:space="preserve"> 5.2 and 6.3 </w:t>
            </w:r>
          </w:p>
        </w:tc>
      </w:tr>
      <w:tr w:rsidR="003657C0" w:rsidRPr="00FD47E8" w14:paraId="0F2A8884" w14:textId="77777777" w:rsidTr="005329D1">
        <w:trPr>
          <w:cantSplit/>
          <w:jc w:val="center"/>
        </w:trPr>
        <w:tc>
          <w:tcPr>
            <w:tcW w:w="846" w:type="dxa"/>
          </w:tcPr>
          <w:p w14:paraId="4587A406" w14:textId="77777777" w:rsidR="003657C0" w:rsidRPr="00FD47E8" w:rsidRDefault="003657C0" w:rsidP="008D7343">
            <w:pPr>
              <w:spacing w:after="0" w:line="240" w:lineRule="auto"/>
              <w:contextualSpacing/>
              <w:rPr>
                <w:rFonts w:cs="Arial"/>
              </w:rPr>
            </w:pPr>
            <w:r w:rsidRPr="00FD47E8">
              <w:rPr>
                <w:rFonts w:cs="Arial"/>
                <w:sz w:val="18"/>
              </w:rPr>
              <w:t>4</w:t>
            </w:r>
          </w:p>
        </w:tc>
        <w:tc>
          <w:tcPr>
            <w:tcW w:w="1984" w:type="dxa"/>
          </w:tcPr>
          <w:p w14:paraId="7FAC4E19" w14:textId="10FA6681" w:rsidR="003657C0" w:rsidRPr="00FD47E8" w:rsidRDefault="003657C0" w:rsidP="008D7343">
            <w:pPr>
              <w:spacing w:after="0" w:line="240" w:lineRule="auto"/>
              <w:contextualSpacing/>
              <w:rPr>
                <w:rFonts w:cs="Arial"/>
                <w:sz w:val="18"/>
              </w:rPr>
            </w:pPr>
            <w:r w:rsidRPr="00FD47E8">
              <w:rPr>
                <w:rFonts w:cs="Arial"/>
                <w:sz w:val="18"/>
              </w:rPr>
              <w:t>Transformational leadership</w:t>
            </w:r>
          </w:p>
        </w:tc>
        <w:tc>
          <w:tcPr>
            <w:tcW w:w="7240" w:type="dxa"/>
          </w:tcPr>
          <w:p w14:paraId="4247C08E" w14:textId="31EF48AD" w:rsidR="008E0CF3" w:rsidRPr="00FD47E8" w:rsidRDefault="008E0CF3" w:rsidP="008D7343">
            <w:pPr>
              <w:pStyle w:val="ListParagraph"/>
              <w:numPr>
                <w:ilvl w:val="0"/>
                <w:numId w:val="18"/>
              </w:numPr>
              <w:spacing w:after="0" w:line="240" w:lineRule="auto"/>
              <w:rPr>
                <w:rFonts w:cs="Arial"/>
                <w:sz w:val="18"/>
              </w:rPr>
            </w:pPr>
            <w:r w:rsidRPr="00FD47E8">
              <w:rPr>
                <w:rFonts w:cs="Arial"/>
                <w:sz w:val="18"/>
              </w:rPr>
              <w:t xml:space="preserve">Transformational leadership and charisma: definitions, applications, strengths, and limitations </w:t>
            </w:r>
          </w:p>
          <w:p w14:paraId="103CFFB5" w14:textId="76414D84" w:rsidR="003657C0" w:rsidRPr="00FD47E8" w:rsidRDefault="003657C0" w:rsidP="008D7343">
            <w:pPr>
              <w:pStyle w:val="ListParagraph"/>
              <w:numPr>
                <w:ilvl w:val="0"/>
                <w:numId w:val="18"/>
              </w:numPr>
              <w:spacing w:after="0" w:line="240" w:lineRule="auto"/>
              <w:rPr>
                <w:rFonts w:cs="Arial"/>
                <w:sz w:val="18"/>
              </w:rPr>
            </w:pPr>
            <w:r w:rsidRPr="00FD47E8">
              <w:rPr>
                <w:rFonts w:cs="Arial"/>
                <w:sz w:val="18"/>
              </w:rPr>
              <w:t xml:space="preserve">Read Northouse Ch 8 &amp; respond to </w:t>
            </w:r>
            <w:r w:rsidR="00C57601" w:rsidRPr="00FD47E8">
              <w:rPr>
                <w:rFonts w:cs="Arial"/>
                <w:sz w:val="18"/>
              </w:rPr>
              <w:t xml:space="preserve">questions in </w:t>
            </w:r>
            <w:r w:rsidRPr="00FD47E8">
              <w:rPr>
                <w:rFonts w:cs="Arial"/>
                <w:sz w:val="18"/>
              </w:rPr>
              <w:t>case</w:t>
            </w:r>
            <w:r w:rsidR="00C57601" w:rsidRPr="00FD47E8">
              <w:rPr>
                <w:rFonts w:cs="Arial"/>
                <w:sz w:val="18"/>
              </w:rPr>
              <w:t>s</w:t>
            </w:r>
            <w:r w:rsidRPr="00FD47E8">
              <w:rPr>
                <w:rFonts w:cs="Arial"/>
                <w:sz w:val="18"/>
              </w:rPr>
              <w:t xml:space="preserve"> 8.1 and 8.3 </w:t>
            </w:r>
          </w:p>
        </w:tc>
      </w:tr>
      <w:tr w:rsidR="003657C0" w:rsidRPr="00FD47E8" w14:paraId="55C0B7C5" w14:textId="77777777" w:rsidTr="005329D1">
        <w:trPr>
          <w:cantSplit/>
          <w:jc w:val="center"/>
        </w:trPr>
        <w:tc>
          <w:tcPr>
            <w:tcW w:w="846" w:type="dxa"/>
          </w:tcPr>
          <w:p w14:paraId="6DC3E78C" w14:textId="77777777" w:rsidR="003657C0" w:rsidRPr="00FD47E8" w:rsidRDefault="003657C0" w:rsidP="008D7343">
            <w:pPr>
              <w:spacing w:after="0" w:line="240" w:lineRule="auto"/>
              <w:contextualSpacing/>
              <w:rPr>
                <w:rFonts w:cs="Arial"/>
              </w:rPr>
            </w:pPr>
            <w:r w:rsidRPr="00FD47E8">
              <w:rPr>
                <w:rFonts w:cs="Arial"/>
                <w:sz w:val="18"/>
              </w:rPr>
              <w:t>5</w:t>
            </w:r>
          </w:p>
        </w:tc>
        <w:tc>
          <w:tcPr>
            <w:tcW w:w="1984" w:type="dxa"/>
          </w:tcPr>
          <w:p w14:paraId="0F96DD86" w14:textId="484DE606" w:rsidR="003657C0" w:rsidRPr="00FD47E8" w:rsidRDefault="003657C0" w:rsidP="008D7343">
            <w:pPr>
              <w:spacing w:after="0" w:line="240" w:lineRule="auto"/>
              <w:contextualSpacing/>
              <w:rPr>
                <w:rFonts w:cs="Arial"/>
                <w:sz w:val="18"/>
              </w:rPr>
            </w:pPr>
            <w:r w:rsidRPr="00FD47E8">
              <w:rPr>
                <w:rFonts w:cs="Arial"/>
                <w:sz w:val="18"/>
              </w:rPr>
              <w:t>Servant Leadership</w:t>
            </w:r>
          </w:p>
        </w:tc>
        <w:tc>
          <w:tcPr>
            <w:tcW w:w="7240" w:type="dxa"/>
          </w:tcPr>
          <w:p w14:paraId="6F7E5EBA" w14:textId="77777777" w:rsidR="003657C0" w:rsidRPr="00FD47E8" w:rsidRDefault="003657C0" w:rsidP="008D7343">
            <w:pPr>
              <w:pStyle w:val="ListParagraph"/>
              <w:numPr>
                <w:ilvl w:val="0"/>
                <w:numId w:val="18"/>
              </w:numPr>
              <w:spacing w:after="0" w:line="240" w:lineRule="auto"/>
              <w:rPr>
                <w:rFonts w:cs="Arial"/>
                <w:sz w:val="18"/>
              </w:rPr>
            </w:pPr>
            <w:r w:rsidRPr="00FD47E8">
              <w:rPr>
                <w:rFonts w:cs="Arial"/>
                <w:sz w:val="18"/>
              </w:rPr>
              <w:t xml:space="preserve">Servant leadership defined, how it works in practice, and strengths and limitations </w:t>
            </w:r>
          </w:p>
          <w:p w14:paraId="29BD144E" w14:textId="73D6F436" w:rsidR="003657C0" w:rsidRPr="00FD47E8" w:rsidRDefault="003657C0" w:rsidP="008D7343">
            <w:pPr>
              <w:pStyle w:val="ListParagraph"/>
              <w:numPr>
                <w:ilvl w:val="0"/>
                <w:numId w:val="18"/>
              </w:numPr>
              <w:spacing w:after="0" w:line="240" w:lineRule="auto"/>
              <w:rPr>
                <w:rFonts w:cs="Arial"/>
                <w:sz w:val="18"/>
              </w:rPr>
            </w:pPr>
            <w:r w:rsidRPr="00FD47E8">
              <w:rPr>
                <w:rFonts w:cs="Arial"/>
                <w:sz w:val="18"/>
              </w:rPr>
              <w:t xml:space="preserve">Read Northouse Ch 10 &amp; respond to </w:t>
            </w:r>
            <w:r w:rsidR="00C57601" w:rsidRPr="00FD47E8">
              <w:rPr>
                <w:rFonts w:cs="Arial"/>
                <w:sz w:val="18"/>
              </w:rPr>
              <w:t xml:space="preserve">questions in </w:t>
            </w:r>
            <w:r w:rsidRPr="00FD47E8">
              <w:rPr>
                <w:rFonts w:cs="Arial"/>
                <w:sz w:val="18"/>
              </w:rPr>
              <w:t xml:space="preserve">case 10.3 </w:t>
            </w:r>
          </w:p>
        </w:tc>
      </w:tr>
      <w:tr w:rsidR="003657C0" w:rsidRPr="00FD47E8" w14:paraId="0BF5311C" w14:textId="77777777" w:rsidTr="005329D1">
        <w:trPr>
          <w:cantSplit/>
          <w:jc w:val="center"/>
        </w:trPr>
        <w:tc>
          <w:tcPr>
            <w:tcW w:w="846" w:type="dxa"/>
          </w:tcPr>
          <w:p w14:paraId="5D56ECB0" w14:textId="77777777" w:rsidR="003657C0" w:rsidRPr="00FD47E8" w:rsidRDefault="003657C0" w:rsidP="008D7343">
            <w:pPr>
              <w:spacing w:after="0" w:line="240" w:lineRule="auto"/>
              <w:contextualSpacing/>
              <w:rPr>
                <w:rFonts w:cs="Arial"/>
              </w:rPr>
            </w:pPr>
            <w:r w:rsidRPr="00FD47E8">
              <w:rPr>
                <w:rFonts w:cs="Arial"/>
                <w:sz w:val="18"/>
              </w:rPr>
              <w:t>6</w:t>
            </w:r>
          </w:p>
        </w:tc>
        <w:tc>
          <w:tcPr>
            <w:tcW w:w="1984" w:type="dxa"/>
          </w:tcPr>
          <w:p w14:paraId="6AC2F9E5" w14:textId="0B40B0A2" w:rsidR="003657C0" w:rsidRPr="00FD47E8" w:rsidRDefault="003657C0" w:rsidP="008D7343">
            <w:pPr>
              <w:spacing w:after="0" w:line="240" w:lineRule="auto"/>
              <w:contextualSpacing/>
              <w:rPr>
                <w:rFonts w:cs="Arial"/>
                <w:sz w:val="18"/>
              </w:rPr>
            </w:pPr>
            <w:r w:rsidRPr="00FD47E8">
              <w:rPr>
                <w:rFonts w:cs="Arial"/>
                <w:sz w:val="18"/>
              </w:rPr>
              <w:t>Review and formative in-class exam</w:t>
            </w:r>
          </w:p>
        </w:tc>
        <w:tc>
          <w:tcPr>
            <w:tcW w:w="7240" w:type="dxa"/>
          </w:tcPr>
          <w:p w14:paraId="54F9BDDA" w14:textId="49C924DE" w:rsidR="003657C0" w:rsidRPr="00FD47E8" w:rsidRDefault="003657C0" w:rsidP="008D7343">
            <w:pPr>
              <w:pStyle w:val="ListParagraph"/>
              <w:numPr>
                <w:ilvl w:val="0"/>
                <w:numId w:val="18"/>
              </w:numPr>
              <w:spacing w:after="0" w:line="240" w:lineRule="auto"/>
              <w:rPr>
                <w:rFonts w:cs="Arial"/>
                <w:sz w:val="18"/>
              </w:rPr>
            </w:pPr>
            <w:r w:rsidRPr="00FD47E8">
              <w:rPr>
                <w:rFonts w:cs="Arial"/>
                <w:sz w:val="18"/>
              </w:rPr>
              <w:t xml:space="preserve">This is a mock exam: you will be asked </w:t>
            </w:r>
            <w:r w:rsidR="002D7912" w:rsidRPr="00FD47E8">
              <w:rPr>
                <w:rFonts w:cs="Arial"/>
                <w:sz w:val="18"/>
              </w:rPr>
              <w:t>sample</w:t>
            </w:r>
            <w:r w:rsidRPr="00FD47E8">
              <w:rPr>
                <w:rFonts w:cs="Arial"/>
                <w:sz w:val="18"/>
              </w:rPr>
              <w:t xml:space="preserve"> MCQ and 1 short answer question from any of the above materials. Correct answers are taken up in class. </w:t>
            </w:r>
            <w:r w:rsidR="00406D33">
              <w:rPr>
                <w:rFonts w:cs="Arial"/>
                <w:sz w:val="18"/>
              </w:rPr>
              <w:t xml:space="preserve">Bring your laptop. </w:t>
            </w:r>
          </w:p>
        </w:tc>
      </w:tr>
      <w:tr w:rsidR="003657C0" w:rsidRPr="00FD47E8" w14:paraId="36670140" w14:textId="77777777" w:rsidTr="005329D1">
        <w:trPr>
          <w:cantSplit/>
          <w:jc w:val="center"/>
        </w:trPr>
        <w:tc>
          <w:tcPr>
            <w:tcW w:w="846" w:type="dxa"/>
          </w:tcPr>
          <w:p w14:paraId="5869BBA3" w14:textId="77777777" w:rsidR="003657C0" w:rsidRPr="00FD47E8" w:rsidRDefault="003657C0" w:rsidP="008D7343">
            <w:pPr>
              <w:spacing w:after="0" w:line="240" w:lineRule="auto"/>
              <w:contextualSpacing/>
              <w:rPr>
                <w:rFonts w:cs="Arial"/>
              </w:rPr>
            </w:pPr>
            <w:r w:rsidRPr="00FD47E8">
              <w:rPr>
                <w:rFonts w:cs="Arial"/>
                <w:sz w:val="18"/>
              </w:rPr>
              <w:t>7</w:t>
            </w:r>
          </w:p>
        </w:tc>
        <w:tc>
          <w:tcPr>
            <w:tcW w:w="1984" w:type="dxa"/>
          </w:tcPr>
          <w:p w14:paraId="6B504C75" w14:textId="649D09ED" w:rsidR="003657C0" w:rsidRPr="00FD47E8" w:rsidRDefault="003657C0" w:rsidP="008D7343">
            <w:pPr>
              <w:spacing w:after="0" w:line="240" w:lineRule="auto"/>
              <w:contextualSpacing/>
              <w:rPr>
                <w:rFonts w:cs="Arial"/>
                <w:sz w:val="18"/>
              </w:rPr>
            </w:pPr>
            <w:r w:rsidRPr="00FD47E8">
              <w:rPr>
                <w:rFonts w:cs="Arial"/>
                <w:sz w:val="18"/>
              </w:rPr>
              <w:t>Followership</w:t>
            </w:r>
          </w:p>
        </w:tc>
        <w:tc>
          <w:tcPr>
            <w:tcW w:w="7240" w:type="dxa"/>
          </w:tcPr>
          <w:p w14:paraId="7792C34D" w14:textId="77777777" w:rsidR="003657C0" w:rsidRPr="00FD47E8" w:rsidRDefault="003657C0" w:rsidP="008D7343">
            <w:pPr>
              <w:pStyle w:val="ListParagraph"/>
              <w:numPr>
                <w:ilvl w:val="0"/>
                <w:numId w:val="18"/>
              </w:numPr>
              <w:spacing w:after="0" w:line="240" w:lineRule="auto"/>
              <w:rPr>
                <w:rFonts w:cs="Arial"/>
                <w:sz w:val="18"/>
              </w:rPr>
            </w:pPr>
            <w:r w:rsidRPr="00FD47E8">
              <w:rPr>
                <w:rFonts w:cs="Arial"/>
                <w:sz w:val="18"/>
              </w:rPr>
              <w:t xml:space="preserve">Followership defined, typologies, theoretical approaches, and destructive leaders </w:t>
            </w:r>
          </w:p>
          <w:p w14:paraId="02920218" w14:textId="056AC78F" w:rsidR="003657C0" w:rsidRPr="00FD47E8" w:rsidRDefault="003657C0" w:rsidP="008D7343">
            <w:pPr>
              <w:pStyle w:val="ListParagraph"/>
              <w:numPr>
                <w:ilvl w:val="0"/>
                <w:numId w:val="18"/>
              </w:numPr>
              <w:spacing w:after="0" w:line="240" w:lineRule="auto"/>
              <w:rPr>
                <w:rFonts w:cs="Arial"/>
                <w:sz w:val="18"/>
              </w:rPr>
            </w:pPr>
            <w:r w:rsidRPr="00FD47E8">
              <w:rPr>
                <w:rFonts w:cs="Arial"/>
                <w:sz w:val="18"/>
              </w:rPr>
              <w:t xml:space="preserve">Read Northouse Ch 13 &amp; respond to </w:t>
            </w:r>
            <w:r w:rsidR="00C57601" w:rsidRPr="00FD47E8">
              <w:rPr>
                <w:rFonts w:cs="Arial"/>
                <w:sz w:val="18"/>
              </w:rPr>
              <w:t>questions in cases</w:t>
            </w:r>
            <w:r w:rsidRPr="00FD47E8">
              <w:rPr>
                <w:rFonts w:cs="Arial"/>
                <w:sz w:val="18"/>
              </w:rPr>
              <w:t xml:space="preserve"> 13.1 and 13.3</w:t>
            </w:r>
          </w:p>
        </w:tc>
      </w:tr>
      <w:tr w:rsidR="003657C0" w:rsidRPr="00FD47E8" w14:paraId="1627F19A" w14:textId="77777777" w:rsidTr="005329D1">
        <w:trPr>
          <w:cantSplit/>
          <w:jc w:val="center"/>
        </w:trPr>
        <w:tc>
          <w:tcPr>
            <w:tcW w:w="846" w:type="dxa"/>
          </w:tcPr>
          <w:p w14:paraId="28A7C660" w14:textId="77777777" w:rsidR="003657C0" w:rsidRPr="00FD47E8" w:rsidRDefault="003657C0" w:rsidP="008D7343">
            <w:pPr>
              <w:spacing w:after="0" w:line="240" w:lineRule="auto"/>
              <w:contextualSpacing/>
              <w:rPr>
                <w:rFonts w:cs="Arial"/>
              </w:rPr>
            </w:pPr>
            <w:r w:rsidRPr="00FD47E8">
              <w:rPr>
                <w:rFonts w:cs="Arial"/>
                <w:sz w:val="18"/>
              </w:rPr>
              <w:t>8</w:t>
            </w:r>
          </w:p>
        </w:tc>
        <w:tc>
          <w:tcPr>
            <w:tcW w:w="1984" w:type="dxa"/>
          </w:tcPr>
          <w:p w14:paraId="47721E5A" w14:textId="0D9F1A1A" w:rsidR="003657C0" w:rsidRPr="00FD47E8" w:rsidRDefault="003657C0" w:rsidP="008D7343">
            <w:pPr>
              <w:spacing w:after="0" w:line="240" w:lineRule="auto"/>
              <w:contextualSpacing/>
              <w:rPr>
                <w:rFonts w:cs="Arial"/>
              </w:rPr>
            </w:pPr>
            <w:r w:rsidRPr="00FD47E8">
              <w:rPr>
                <w:rFonts w:cs="Arial"/>
                <w:sz w:val="18"/>
              </w:rPr>
              <w:t xml:space="preserve">Social Identity Leadership </w:t>
            </w:r>
          </w:p>
        </w:tc>
        <w:tc>
          <w:tcPr>
            <w:tcW w:w="7240" w:type="dxa"/>
          </w:tcPr>
          <w:p w14:paraId="2BB91064" w14:textId="77777777" w:rsidR="003657C0" w:rsidRPr="00FD47E8" w:rsidRDefault="003657C0" w:rsidP="008D7343">
            <w:pPr>
              <w:pStyle w:val="ListParagraph"/>
              <w:numPr>
                <w:ilvl w:val="0"/>
                <w:numId w:val="18"/>
              </w:numPr>
              <w:spacing w:after="0" w:line="240" w:lineRule="auto"/>
              <w:rPr>
                <w:rFonts w:cs="Arial"/>
                <w:sz w:val="18"/>
              </w:rPr>
            </w:pPr>
            <w:r w:rsidRPr="00FD47E8">
              <w:rPr>
                <w:rFonts w:cs="Arial"/>
                <w:sz w:val="18"/>
              </w:rPr>
              <w:t xml:space="preserve">Social Identity leadership defined, how it works in practice, and strengths and limitations </w:t>
            </w:r>
          </w:p>
          <w:p w14:paraId="0003357F" w14:textId="0BBCEE4D" w:rsidR="003657C0" w:rsidRPr="00FD47E8" w:rsidRDefault="003657C0" w:rsidP="008D7343">
            <w:pPr>
              <w:pStyle w:val="ListParagraph"/>
              <w:numPr>
                <w:ilvl w:val="0"/>
                <w:numId w:val="18"/>
              </w:numPr>
              <w:spacing w:after="0" w:line="240" w:lineRule="auto"/>
              <w:rPr>
                <w:rFonts w:cs="Arial"/>
                <w:sz w:val="18"/>
              </w:rPr>
            </w:pPr>
            <w:r w:rsidRPr="00FD47E8">
              <w:rPr>
                <w:rFonts w:cs="Arial"/>
                <w:sz w:val="18"/>
              </w:rPr>
              <w:t xml:space="preserve">Read Northouse Ch 14 &amp; respond to </w:t>
            </w:r>
            <w:r w:rsidR="00C57601" w:rsidRPr="00FD47E8">
              <w:rPr>
                <w:rFonts w:cs="Arial"/>
                <w:sz w:val="18"/>
              </w:rPr>
              <w:t>questions in cases</w:t>
            </w:r>
            <w:r w:rsidRPr="00FD47E8">
              <w:rPr>
                <w:rFonts w:cs="Arial"/>
                <w:sz w:val="18"/>
              </w:rPr>
              <w:t xml:space="preserve"> 14.2 and 14.3</w:t>
            </w:r>
          </w:p>
        </w:tc>
      </w:tr>
      <w:tr w:rsidR="003657C0" w:rsidRPr="00FD47E8" w14:paraId="750D6103" w14:textId="77777777" w:rsidTr="005329D1">
        <w:trPr>
          <w:cantSplit/>
          <w:jc w:val="center"/>
        </w:trPr>
        <w:tc>
          <w:tcPr>
            <w:tcW w:w="846" w:type="dxa"/>
          </w:tcPr>
          <w:p w14:paraId="02371029" w14:textId="557B46E6" w:rsidR="003657C0" w:rsidRPr="00FD47E8" w:rsidRDefault="003657C0" w:rsidP="008D7343">
            <w:pPr>
              <w:spacing w:after="0" w:line="240" w:lineRule="auto"/>
              <w:contextualSpacing/>
              <w:rPr>
                <w:rFonts w:cs="Arial"/>
                <w:sz w:val="18"/>
              </w:rPr>
            </w:pPr>
            <w:r w:rsidRPr="00FD47E8">
              <w:rPr>
                <w:rFonts w:cs="Arial"/>
                <w:sz w:val="18"/>
              </w:rPr>
              <w:t>9</w:t>
            </w:r>
          </w:p>
        </w:tc>
        <w:tc>
          <w:tcPr>
            <w:tcW w:w="1984" w:type="dxa"/>
          </w:tcPr>
          <w:p w14:paraId="1573ACCB" w14:textId="7B568E30" w:rsidR="003657C0" w:rsidRPr="00FD47E8" w:rsidRDefault="003657C0" w:rsidP="008D7343">
            <w:pPr>
              <w:spacing w:after="0" w:line="240" w:lineRule="auto"/>
              <w:contextualSpacing/>
              <w:rPr>
                <w:rFonts w:cs="Arial"/>
                <w:sz w:val="18"/>
              </w:rPr>
            </w:pPr>
            <w:r w:rsidRPr="00FD47E8">
              <w:rPr>
                <w:rFonts w:cs="Arial"/>
                <w:sz w:val="18"/>
              </w:rPr>
              <w:t xml:space="preserve">Inclusive leadership </w:t>
            </w:r>
          </w:p>
        </w:tc>
        <w:tc>
          <w:tcPr>
            <w:tcW w:w="7240" w:type="dxa"/>
          </w:tcPr>
          <w:p w14:paraId="4299B103" w14:textId="77777777" w:rsidR="003657C0" w:rsidRPr="00FD47E8" w:rsidRDefault="003657C0" w:rsidP="008D7343">
            <w:pPr>
              <w:pStyle w:val="ListParagraph"/>
              <w:numPr>
                <w:ilvl w:val="0"/>
                <w:numId w:val="18"/>
              </w:numPr>
              <w:spacing w:after="0" w:line="240" w:lineRule="auto"/>
              <w:rPr>
                <w:rFonts w:cs="Arial"/>
                <w:sz w:val="18"/>
              </w:rPr>
            </w:pPr>
            <w:r w:rsidRPr="00FD47E8">
              <w:rPr>
                <w:rFonts w:cs="Arial"/>
                <w:sz w:val="18"/>
              </w:rPr>
              <w:t xml:space="preserve">Inclusive leadership defined, how it works in practice, and strengths and limitations </w:t>
            </w:r>
          </w:p>
          <w:p w14:paraId="11B8AE8F" w14:textId="0AC4C238" w:rsidR="003657C0" w:rsidRPr="00FD47E8" w:rsidRDefault="003657C0" w:rsidP="008D7343">
            <w:pPr>
              <w:pStyle w:val="ListParagraph"/>
              <w:numPr>
                <w:ilvl w:val="0"/>
                <w:numId w:val="18"/>
              </w:numPr>
              <w:spacing w:after="0" w:line="240" w:lineRule="auto"/>
              <w:rPr>
                <w:rFonts w:cs="Arial"/>
                <w:sz w:val="18"/>
              </w:rPr>
            </w:pPr>
            <w:r w:rsidRPr="00FD47E8">
              <w:rPr>
                <w:rFonts w:cs="Arial"/>
                <w:sz w:val="18"/>
              </w:rPr>
              <w:t xml:space="preserve">Read Northouse Ch 15 &amp; respond </w:t>
            </w:r>
            <w:r w:rsidR="008E0CF3" w:rsidRPr="00FD47E8">
              <w:rPr>
                <w:rFonts w:cs="Arial"/>
                <w:sz w:val="18"/>
              </w:rPr>
              <w:t xml:space="preserve">to </w:t>
            </w:r>
            <w:r w:rsidR="00C57601" w:rsidRPr="00FD47E8">
              <w:rPr>
                <w:rFonts w:cs="Arial"/>
                <w:sz w:val="18"/>
              </w:rPr>
              <w:t>questions in cases</w:t>
            </w:r>
            <w:r w:rsidRPr="00FD47E8">
              <w:rPr>
                <w:rFonts w:cs="Arial"/>
                <w:sz w:val="18"/>
              </w:rPr>
              <w:t xml:space="preserve"> 15.1 and 15.2 </w:t>
            </w:r>
          </w:p>
        </w:tc>
      </w:tr>
      <w:tr w:rsidR="003657C0" w:rsidRPr="00FD47E8" w14:paraId="27E9F57B" w14:textId="77777777" w:rsidTr="005329D1">
        <w:trPr>
          <w:cantSplit/>
          <w:jc w:val="center"/>
        </w:trPr>
        <w:tc>
          <w:tcPr>
            <w:tcW w:w="846" w:type="dxa"/>
          </w:tcPr>
          <w:p w14:paraId="43E3C47C" w14:textId="5E42BAE9" w:rsidR="003657C0" w:rsidRPr="00FD47E8" w:rsidRDefault="003657C0" w:rsidP="008D7343">
            <w:pPr>
              <w:spacing w:after="0" w:line="240" w:lineRule="auto"/>
              <w:contextualSpacing/>
              <w:rPr>
                <w:rFonts w:cs="Arial"/>
                <w:sz w:val="18"/>
              </w:rPr>
            </w:pPr>
            <w:r w:rsidRPr="00FD47E8">
              <w:rPr>
                <w:rFonts w:cs="Arial"/>
                <w:sz w:val="18"/>
              </w:rPr>
              <w:t>10</w:t>
            </w:r>
          </w:p>
        </w:tc>
        <w:tc>
          <w:tcPr>
            <w:tcW w:w="1984" w:type="dxa"/>
          </w:tcPr>
          <w:p w14:paraId="13F5A4B0" w14:textId="70317FDC" w:rsidR="003657C0" w:rsidRPr="00FD47E8" w:rsidRDefault="003657C0" w:rsidP="008D7343">
            <w:pPr>
              <w:spacing w:after="0" w:line="240" w:lineRule="auto"/>
              <w:contextualSpacing/>
              <w:rPr>
                <w:rFonts w:cs="Arial"/>
                <w:sz w:val="18"/>
              </w:rPr>
            </w:pPr>
            <w:r w:rsidRPr="00FD47E8">
              <w:rPr>
                <w:rFonts w:cs="Arial"/>
                <w:sz w:val="18"/>
              </w:rPr>
              <w:t>Leading Change &amp; Innovation</w:t>
            </w:r>
          </w:p>
        </w:tc>
        <w:tc>
          <w:tcPr>
            <w:tcW w:w="7240" w:type="dxa"/>
          </w:tcPr>
          <w:p w14:paraId="147FB72B" w14:textId="31189DFD" w:rsidR="003657C0" w:rsidRPr="00FD47E8" w:rsidRDefault="003E6DF2" w:rsidP="008D7343">
            <w:pPr>
              <w:pStyle w:val="ListParagraph"/>
              <w:numPr>
                <w:ilvl w:val="0"/>
                <w:numId w:val="18"/>
              </w:numPr>
              <w:spacing w:after="0" w:line="240" w:lineRule="auto"/>
              <w:rPr>
                <w:rFonts w:cs="Arial"/>
                <w:sz w:val="18"/>
              </w:rPr>
            </w:pPr>
            <w:r w:rsidRPr="00FD47E8">
              <w:rPr>
                <w:rFonts w:cs="Arial"/>
                <w:sz w:val="18"/>
              </w:rPr>
              <w:t>Leading change</w:t>
            </w:r>
            <w:r w:rsidR="005936C1" w:rsidRPr="00FD47E8">
              <w:rPr>
                <w:rFonts w:cs="Arial"/>
                <w:sz w:val="18"/>
              </w:rPr>
              <w:t xml:space="preserve"> described</w:t>
            </w:r>
            <w:r w:rsidRPr="00FD47E8">
              <w:rPr>
                <w:rFonts w:cs="Arial"/>
                <w:sz w:val="18"/>
              </w:rPr>
              <w:t xml:space="preserve">, including resistance, visioning, implementation, and learning </w:t>
            </w:r>
          </w:p>
          <w:p w14:paraId="51BBAD08" w14:textId="3B54039C" w:rsidR="003E6DF2" w:rsidRPr="00FD47E8" w:rsidRDefault="003E6DF2" w:rsidP="008D7343">
            <w:pPr>
              <w:pStyle w:val="ListParagraph"/>
              <w:numPr>
                <w:ilvl w:val="0"/>
                <w:numId w:val="18"/>
              </w:numPr>
              <w:spacing w:after="0" w:line="240" w:lineRule="auto"/>
              <w:rPr>
                <w:rFonts w:cs="Arial"/>
                <w:sz w:val="18"/>
              </w:rPr>
            </w:pPr>
            <w:r w:rsidRPr="00FD47E8">
              <w:rPr>
                <w:rFonts w:cs="Arial"/>
                <w:sz w:val="18"/>
              </w:rPr>
              <w:t xml:space="preserve">Read Ch 5 in Yukl (see BB) &amp; respond to </w:t>
            </w:r>
            <w:r w:rsidR="00C57601" w:rsidRPr="00FD47E8">
              <w:rPr>
                <w:rFonts w:cs="Arial"/>
                <w:sz w:val="18"/>
              </w:rPr>
              <w:t>questions in</w:t>
            </w:r>
            <w:r w:rsidRPr="00FD47E8">
              <w:rPr>
                <w:rFonts w:cs="Arial"/>
                <w:sz w:val="18"/>
              </w:rPr>
              <w:t xml:space="preserve"> Ready Foods</w:t>
            </w:r>
            <w:r w:rsidR="00C57601" w:rsidRPr="00FD47E8">
              <w:rPr>
                <w:rFonts w:cs="Arial"/>
                <w:sz w:val="18"/>
              </w:rPr>
              <w:t xml:space="preserve"> case</w:t>
            </w:r>
          </w:p>
        </w:tc>
      </w:tr>
      <w:tr w:rsidR="003657C0" w:rsidRPr="00FD47E8" w14:paraId="281F38EC" w14:textId="77777777" w:rsidTr="005329D1">
        <w:trPr>
          <w:cantSplit/>
          <w:jc w:val="center"/>
        </w:trPr>
        <w:tc>
          <w:tcPr>
            <w:tcW w:w="846" w:type="dxa"/>
          </w:tcPr>
          <w:p w14:paraId="3DB1CECF" w14:textId="0802DB2D" w:rsidR="003657C0" w:rsidRPr="00FD47E8" w:rsidRDefault="003657C0" w:rsidP="008D7343">
            <w:pPr>
              <w:spacing w:after="0" w:line="240" w:lineRule="auto"/>
              <w:contextualSpacing/>
              <w:rPr>
                <w:rFonts w:cs="Arial"/>
                <w:sz w:val="18"/>
              </w:rPr>
            </w:pPr>
            <w:r w:rsidRPr="00FD47E8">
              <w:rPr>
                <w:rFonts w:cs="Arial"/>
                <w:sz w:val="18"/>
              </w:rPr>
              <w:t xml:space="preserve">11 </w:t>
            </w:r>
          </w:p>
        </w:tc>
        <w:tc>
          <w:tcPr>
            <w:tcW w:w="1984" w:type="dxa"/>
          </w:tcPr>
          <w:p w14:paraId="6957C1EC" w14:textId="35EB4583" w:rsidR="003657C0" w:rsidRPr="00FD47E8" w:rsidRDefault="003657C0" w:rsidP="008D7343">
            <w:pPr>
              <w:spacing w:after="0" w:line="240" w:lineRule="auto"/>
              <w:contextualSpacing/>
              <w:rPr>
                <w:rFonts w:cs="Arial"/>
                <w:sz w:val="18"/>
              </w:rPr>
            </w:pPr>
            <w:r w:rsidRPr="00FD47E8">
              <w:rPr>
                <w:rFonts w:cs="Arial"/>
                <w:sz w:val="18"/>
              </w:rPr>
              <w:t xml:space="preserve">Review and formative in-class exam </w:t>
            </w:r>
          </w:p>
        </w:tc>
        <w:tc>
          <w:tcPr>
            <w:tcW w:w="7240" w:type="dxa"/>
          </w:tcPr>
          <w:p w14:paraId="66B77C0F" w14:textId="4FF2E10D" w:rsidR="003657C0" w:rsidRPr="00FD47E8" w:rsidRDefault="003657C0" w:rsidP="008D7343">
            <w:pPr>
              <w:pStyle w:val="ListParagraph"/>
              <w:numPr>
                <w:ilvl w:val="0"/>
                <w:numId w:val="18"/>
              </w:numPr>
              <w:spacing w:after="0" w:line="240" w:lineRule="auto"/>
              <w:rPr>
                <w:rFonts w:cs="Arial"/>
                <w:sz w:val="18"/>
              </w:rPr>
            </w:pPr>
            <w:r w:rsidRPr="00FD47E8">
              <w:rPr>
                <w:rFonts w:cs="Arial"/>
                <w:sz w:val="18"/>
              </w:rPr>
              <w:t xml:space="preserve">This is a mock exam: you will be asked </w:t>
            </w:r>
            <w:r w:rsidR="002D7912" w:rsidRPr="00FD47E8">
              <w:rPr>
                <w:rFonts w:cs="Arial"/>
                <w:sz w:val="18"/>
              </w:rPr>
              <w:t>sample</w:t>
            </w:r>
            <w:r w:rsidRPr="00FD47E8">
              <w:rPr>
                <w:rFonts w:cs="Arial"/>
                <w:sz w:val="18"/>
              </w:rPr>
              <w:t xml:space="preserve"> MCQ and 1 short answer question from any of the above materials. Correct answers are taken up in class.</w:t>
            </w:r>
            <w:r w:rsidR="00406D33">
              <w:rPr>
                <w:rFonts w:cs="Arial"/>
                <w:sz w:val="18"/>
              </w:rPr>
              <w:t xml:space="preserve"> Bring your laptop. </w:t>
            </w:r>
          </w:p>
        </w:tc>
      </w:tr>
    </w:tbl>
    <w:p w14:paraId="457F742C" w14:textId="77777777" w:rsidR="00C3578D" w:rsidRPr="00FD47E8" w:rsidRDefault="00C3578D" w:rsidP="008D7343">
      <w:pPr>
        <w:pStyle w:val="Instruction"/>
        <w:spacing w:after="0" w:line="240" w:lineRule="auto"/>
        <w:contextualSpacing/>
        <w:rPr>
          <w:rFonts w:cs="Arial"/>
          <w:i w:val="0"/>
          <w:color w:val="auto"/>
          <w:highlight w:val="yellow"/>
        </w:rPr>
      </w:pPr>
    </w:p>
    <w:p w14:paraId="3B1D934B" w14:textId="47EC49ED" w:rsidR="002C7AAE" w:rsidRPr="00FD47E8" w:rsidRDefault="00C3578D" w:rsidP="008D7343">
      <w:pPr>
        <w:pStyle w:val="Instruction"/>
        <w:spacing w:after="0" w:line="240" w:lineRule="auto"/>
        <w:contextualSpacing/>
        <w:rPr>
          <w:rFonts w:cs="Arial"/>
          <w:b/>
          <w:bCs/>
          <w:i w:val="0"/>
          <w:color w:val="auto"/>
          <w:sz w:val="21"/>
          <w:szCs w:val="28"/>
        </w:rPr>
      </w:pPr>
      <w:r w:rsidRPr="00FD47E8">
        <w:rPr>
          <w:rFonts w:cs="Arial"/>
          <w:b/>
          <w:bCs/>
          <w:i w:val="0"/>
          <w:color w:val="auto"/>
          <w:sz w:val="21"/>
          <w:szCs w:val="28"/>
        </w:rPr>
        <w:t xml:space="preserve">Note: Class Attendances </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2C7AAE" w:rsidRPr="00FD47E8" w14:paraId="2F221B53" w14:textId="77777777" w:rsidTr="00C663C6">
        <w:trPr>
          <w:cantSplit/>
          <w:jc w:val="center"/>
        </w:trPr>
        <w:tc>
          <w:tcPr>
            <w:tcW w:w="10080" w:type="dxa"/>
            <w:shd w:val="clear" w:color="auto" w:fill="F7F7F7"/>
          </w:tcPr>
          <w:p w14:paraId="216B5ED7" w14:textId="45BCD4BD" w:rsidR="00353EDD" w:rsidRPr="00FD47E8" w:rsidRDefault="00096970" w:rsidP="008D7343">
            <w:pPr>
              <w:spacing w:after="0" w:line="240" w:lineRule="auto"/>
              <w:contextualSpacing/>
              <w:rPr>
                <w:rFonts w:cs="Arial"/>
                <w:color w:val="212121"/>
                <w:sz w:val="22"/>
              </w:rPr>
            </w:pPr>
            <w:r w:rsidRPr="00FD47E8">
              <w:rPr>
                <w:rFonts w:cs="Arial"/>
              </w:rPr>
              <w:t xml:space="preserve">Trinity Business School expects students to attend at least two-thirds of classes. Attendance will be recorded. In-class lectures are not recorded. Students who miss classes are responsible for catching up on missed material. Students who miss more than one-third of classes for valid reasons should contact the lecturer and follow the </w:t>
            </w:r>
            <w:proofErr w:type="gramStart"/>
            <w:r w:rsidRPr="00FD47E8">
              <w:rPr>
                <w:rFonts w:cs="Arial"/>
              </w:rPr>
              <w:t>School’s</w:t>
            </w:r>
            <w:proofErr w:type="gramEnd"/>
            <w:r w:rsidRPr="00FD47E8">
              <w:rPr>
                <w:rFonts w:cs="Arial"/>
              </w:rPr>
              <w:t xml:space="preserve"> procedures for absence, self-certification, and supporting documentation.</w:t>
            </w:r>
          </w:p>
        </w:tc>
      </w:tr>
    </w:tbl>
    <w:p w14:paraId="25861B3D" w14:textId="77777777" w:rsidR="008D7343" w:rsidRDefault="008D7343" w:rsidP="008D7343">
      <w:pPr>
        <w:pStyle w:val="SectionHeading"/>
        <w:spacing w:before="0" w:after="0" w:line="240" w:lineRule="auto"/>
        <w:contextualSpacing/>
        <w:rPr>
          <w:rFonts w:cs="Arial"/>
          <w:color w:val="auto"/>
        </w:rPr>
      </w:pPr>
    </w:p>
    <w:p w14:paraId="733436AE" w14:textId="64DA4B42" w:rsidR="0051410F" w:rsidRPr="00FD47E8" w:rsidRDefault="00C663C6" w:rsidP="008D7343">
      <w:pPr>
        <w:pStyle w:val="SectionHeading"/>
        <w:spacing w:before="0" w:after="0" w:line="240" w:lineRule="auto"/>
        <w:contextualSpacing/>
        <w:rPr>
          <w:rFonts w:cs="Arial"/>
          <w:color w:val="auto"/>
        </w:rPr>
      </w:pPr>
      <w:r w:rsidRPr="00FD47E8">
        <w:rPr>
          <w:rFonts w:cs="Arial"/>
          <w:color w:val="auto"/>
        </w:rPr>
        <w:t>BIOGRAPHICAL NOTE</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0EA6C523" w14:textId="77777777" w:rsidTr="006D3442">
        <w:trPr>
          <w:cantSplit/>
          <w:trHeight w:val="1844"/>
          <w:jc w:val="center"/>
        </w:trPr>
        <w:tc>
          <w:tcPr>
            <w:tcW w:w="10080" w:type="dxa"/>
            <w:shd w:val="clear" w:color="auto" w:fill="F7F7F7"/>
          </w:tcPr>
          <w:p w14:paraId="683B29A1" w14:textId="55D3C6F3" w:rsidR="00912993" w:rsidRPr="00FD47E8" w:rsidRDefault="00912993" w:rsidP="008D7343">
            <w:pPr>
              <w:spacing w:after="0" w:line="240" w:lineRule="auto"/>
              <w:contextualSpacing/>
              <w:rPr>
                <w:rFonts w:cs="Arial"/>
                <w:szCs w:val="20"/>
              </w:rPr>
            </w:pPr>
            <w:r w:rsidRPr="00FD47E8">
              <w:rPr>
                <w:rFonts w:cs="Arial"/>
                <w:szCs w:val="20"/>
              </w:rPr>
              <w:t xml:space="preserve">Amanda Shantz is a Professor of Responsible Leadership at Trinity College Dublin, Ireland. She holds a PhD from the University of Toronto, an MSc from the London School of Economics, and a BA Hons from McGill University. Her research focuses on how organizations leverage human talent to achieve high levels of success, while at the same time, ensure that they make a positive impact in the communities in which they operate. Amanda publishes her research in top academic and practitioner journals, and she has won several awards for her work. </w:t>
            </w:r>
          </w:p>
          <w:p w14:paraId="3522AF2B" w14:textId="1871B440" w:rsidR="0051410F" w:rsidRPr="00FD47E8" w:rsidRDefault="00912993" w:rsidP="008D7343">
            <w:pPr>
              <w:spacing w:after="0" w:line="240" w:lineRule="auto"/>
              <w:contextualSpacing/>
              <w:rPr>
                <w:rFonts w:cs="Arial"/>
                <w:szCs w:val="20"/>
              </w:rPr>
            </w:pPr>
            <w:r w:rsidRPr="00FD47E8">
              <w:rPr>
                <w:rFonts w:cs="Arial"/>
                <w:szCs w:val="20"/>
              </w:rPr>
              <w:t xml:space="preserve"> </w:t>
            </w:r>
          </w:p>
        </w:tc>
      </w:tr>
    </w:tbl>
    <w:p w14:paraId="50494994" w14:textId="77777777" w:rsidR="008D7343" w:rsidRDefault="008D7343" w:rsidP="008D7343">
      <w:pPr>
        <w:pStyle w:val="SectionHeading"/>
        <w:spacing w:before="0" w:after="0" w:line="240" w:lineRule="auto"/>
        <w:contextualSpacing/>
        <w:rPr>
          <w:rFonts w:cs="Arial"/>
          <w:color w:val="auto"/>
        </w:rPr>
      </w:pPr>
    </w:p>
    <w:p w14:paraId="2EE59241" w14:textId="24CFBB18" w:rsidR="0051410F" w:rsidRPr="00FD47E8" w:rsidRDefault="00C663C6" w:rsidP="008D7343">
      <w:pPr>
        <w:pStyle w:val="SectionHeading"/>
        <w:spacing w:before="0" w:after="0" w:line="240" w:lineRule="auto"/>
        <w:contextualSpacing/>
        <w:rPr>
          <w:rFonts w:cs="Arial"/>
          <w:color w:val="auto"/>
        </w:rPr>
      </w:pPr>
      <w:r w:rsidRPr="00FD47E8">
        <w:rPr>
          <w:rFonts w:cs="Arial"/>
          <w:color w:val="auto"/>
        </w:rPr>
        <w:t>ADDITIONAL NOTES / MODULE-SPECIFIC INFORMATION</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70"/>
      </w:tblGrid>
      <w:tr w:rsidR="0051410F" w:rsidRPr="00FD47E8" w14:paraId="05BBDF60" w14:textId="77777777">
        <w:trPr>
          <w:cantSplit/>
          <w:jc w:val="center"/>
        </w:trPr>
        <w:tc>
          <w:tcPr>
            <w:tcW w:w="10080" w:type="dxa"/>
            <w:shd w:val="clear" w:color="auto" w:fill="F7F7F7"/>
          </w:tcPr>
          <w:p w14:paraId="3828867B" w14:textId="19B58806" w:rsidR="0051410F" w:rsidRPr="00FD47E8" w:rsidRDefault="00821080" w:rsidP="008D7343">
            <w:pPr>
              <w:spacing w:after="0" w:line="240" w:lineRule="auto"/>
              <w:contextualSpacing/>
              <w:rPr>
                <w:rFonts w:cs="Arial"/>
              </w:rPr>
            </w:pPr>
            <w:r w:rsidRPr="00FD47E8">
              <w:rPr>
                <w:rFonts w:cs="Arial"/>
              </w:rPr>
              <w:t>N/A</w:t>
            </w:r>
          </w:p>
        </w:tc>
      </w:tr>
    </w:tbl>
    <w:p w14:paraId="13750C51" w14:textId="77777777" w:rsidR="00362907" w:rsidRPr="00FD47E8" w:rsidRDefault="00362907" w:rsidP="008D7343">
      <w:pPr>
        <w:spacing w:after="0" w:line="240" w:lineRule="auto"/>
        <w:contextualSpacing/>
        <w:rPr>
          <w:rFonts w:cs="Arial"/>
        </w:rPr>
      </w:pPr>
    </w:p>
    <w:sectPr w:rsidR="00362907" w:rsidRPr="00FD47E8" w:rsidSect="00034616">
      <w:pgSz w:w="12240" w:h="15840"/>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0C18" w14:textId="77777777" w:rsidR="002D008A" w:rsidRDefault="002D008A">
      <w:pPr>
        <w:spacing w:after="0" w:line="240" w:lineRule="auto"/>
      </w:pPr>
      <w:r>
        <w:separator/>
      </w:r>
    </w:p>
  </w:endnote>
  <w:endnote w:type="continuationSeparator" w:id="0">
    <w:p w14:paraId="54F61293" w14:textId="77777777" w:rsidR="002D008A" w:rsidRDefault="002D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8E1E" w14:textId="77777777" w:rsidR="0051410F" w:rsidRDefault="00C663C6">
    <w:pPr>
      <w:pStyle w:val="Footer"/>
      <w:jc w:val="right"/>
    </w:pPr>
    <w:r>
      <w:rPr>
        <w:sz w:val="18"/>
      </w:rPr>
      <w:fldChar w:fldCharType="begin"/>
    </w:r>
    <w:r>
      <w:rPr>
        <w:sz w:val="18"/>
      </w:rPr>
      <w:instrText>PAGE</w:instrText>
    </w:r>
    <w:r>
      <w:rPr>
        <w:sz w:val="18"/>
      </w:rPr>
      <w:fldChar w:fldCharType="separate"/>
    </w:r>
    <w:r w:rsidR="00E75A27">
      <w:rPr>
        <w:noProof/>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7C78" w14:textId="77777777" w:rsidR="002D008A" w:rsidRDefault="002D008A">
      <w:pPr>
        <w:spacing w:after="0" w:line="240" w:lineRule="auto"/>
      </w:pPr>
      <w:r>
        <w:separator/>
      </w:r>
    </w:p>
  </w:footnote>
  <w:footnote w:type="continuationSeparator" w:id="0">
    <w:p w14:paraId="7FA43749" w14:textId="77777777" w:rsidR="002D008A" w:rsidRDefault="002D0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EB1BDC"/>
    <w:multiLevelType w:val="multilevel"/>
    <w:tmpl w:val="E0A6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C004F"/>
    <w:multiLevelType w:val="hybridMultilevel"/>
    <w:tmpl w:val="9DBEE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7E66A0"/>
    <w:multiLevelType w:val="multilevel"/>
    <w:tmpl w:val="961A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A68DE"/>
    <w:multiLevelType w:val="hybridMultilevel"/>
    <w:tmpl w:val="925A1E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EA3260D"/>
    <w:multiLevelType w:val="hybridMultilevel"/>
    <w:tmpl w:val="E0CC7FA4"/>
    <w:lvl w:ilvl="0" w:tplc="A2AE7924">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A2575"/>
    <w:multiLevelType w:val="multilevel"/>
    <w:tmpl w:val="7538700A"/>
    <w:lvl w:ilvl="0">
      <w:start w:val="2"/>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601944"/>
    <w:multiLevelType w:val="hybridMultilevel"/>
    <w:tmpl w:val="D52C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A1DF0"/>
    <w:multiLevelType w:val="hybridMultilevel"/>
    <w:tmpl w:val="9118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81D53"/>
    <w:multiLevelType w:val="hybridMultilevel"/>
    <w:tmpl w:val="62E2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2F69F8"/>
    <w:multiLevelType w:val="hybridMultilevel"/>
    <w:tmpl w:val="16B4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07842">
    <w:abstractNumId w:val="8"/>
  </w:num>
  <w:num w:numId="2" w16cid:durableId="1586845066">
    <w:abstractNumId w:val="6"/>
  </w:num>
  <w:num w:numId="3" w16cid:durableId="1840385766">
    <w:abstractNumId w:val="5"/>
  </w:num>
  <w:num w:numId="4" w16cid:durableId="1993175339">
    <w:abstractNumId w:val="4"/>
  </w:num>
  <w:num w:numId="5" w16cid:durableId="1859075321">
    <w:abstractNumId w:val="7"/>
  </w:num>
  <w:num w:numId="6" w16cid:durableId="1360159934">
    <w:abstractNumId w:val="3"/>
  </w:num>
  <w:num w:numId="7" w16cid:durableId="843476436">
    <w:abstractNumId w:val="2"/>
  </w:num>
  <w:num w:numId="8" w16cid:durableId="1664353371">
    <w:abstractNumId w:val="1"/>
  </w:num>
  <w:num w:numId="9" w16cid:durableId="270630584">
    <w:abstractNumId w:val="0"/>
  </w:num>
  <w:num w:numId="10" w16cid:durableId="1486318390">
    <w:abstractNumId w:val="10"/>
  </w:num>
  <w:num w:numId="11" w16cid:durableId="183714178">
    <w:abstractNumId w:val="16"/>
  </w:num>
  <w:num w:numId="12" w16cid:durableId="2029137095">
    <w:abstractNumId w:val="8"/>
  </w:num>
  <w:num w:numId="13" w16cid:durableId="1086657834">
    <w:abstractNumId w:val="8"/>
  </w:num>
  <w:num w:numId="14" w16cid:durableId="1642155424">
    <w:abstractNumId w:val="12"/>
  </w:num>
  <w:num w:numId="15" w16cid:durableId="1953201052">
    <w:abstractNumId w:val="8"/>
  </w:num>
  <w:num w:numId="16" w16cid:durableId="1135565998">
    <w:abstractNumId w:val="14"/>
  </w:num>
  <w:num w:numId="17" w16cid:durableId="900603060">
    <w:abstractNumId w:val="15"/>
  </w:num>
  <w:num w:numId="18" w16cid:durableId="513611205">
    <w:abstractNumId w:val="13"/>
  </w:num>
  <w:num w:numId="19" w16cid:durableId="1118333688">
    <w:abstractNumId w:val="11"/>
  </w:num>
  <w:num w:numId="20" w16cid:durableId="990136037">
    <w:abstractNumId w:val="9"/>
  </w:num>
  <w:num w:numId="21" w16cid:durableId="611205820">
    <w:abstractNumId w:val="17"/>
  </w:num>
  <w:num w:numId="22" w16cid:durableId="3978267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915"/>
    <w:rsid w:val="000247E8"/>
    <w:rsid w:val="00034616"/>
    <w:rsid w:val="0006063C"/>
    <w:rsid w:val="000741D3"/>
    <w:rsid w:val="000876F2"/>
    <w:rsid w:val="00096970"/>
    <w:rsid w:val="000C64A8"/>
    <w:rsid w:val="000D34CB"/>
    <w:rsid w:val="00127CD5"/>
    <w:rsid w:val="00135957"/>
    <w:rsid w:val="0015074B"/>
    <w:rsid w:val="00183B09"/>
    <w:rsid w:val="001A2BD5"/>
    <w:rsid w:val="001C362B"/>
    <w:rsid w:val="001D1537"/>
    <w:rsid w:val="00230A62"/>
    <w:rsid w:val="00251FF2"/>
    <w:rsid w:val="00252D7A"/>
    <w:rsid w:val="0029639D"/>
    <w:rsid w:val="002C7AAE"/>
    <w:rsid w:val="002D008A"/>
    <w:rsid w:val="002D1F8F"/>
    <w:rsid w:val="002D7912"/>
    <w:rsid w:val="00300B50"/>
    <w:rsid w:val="00326F90"/>
    <w:rsid w:val="00326FD9"/>
    <w:rsid w:val="0033513F"/>
    <w:rsid w:val="00340083"/>
    <w:rsid w:val="00347B69"/>
    <w:rsid w:val="00353EDD"/>
    <w:rsid w:val="00362907"/>
    <w:rsid w:val="003657C0"/>
    <w:rsid w:val="003B1E39"/>
    <w:rsid w:val="003D4509"/>
    <w:rsid w:val="003D508C"/>
    <w:rsid w:val="003E3FAA"/>
    <w:rsid w:val="003E6DF2"/>
    <w:rsid w:val="004063DD"/>
    <w:rsid w:val="00406D33"/>
    <w:rsid w:val="004432EE"/>
    <w:rsid w:val="004814B0"/>
    <w:rsid w:val="00490A36"/>
    <w:rsid w:val="004936BC"/>
    <w:rsid w:val="004C6EC1"/>
    <w:rsid w:val="004E0937"/>
    <w:rsid w:val="004E61A7"/>
    <w:rsid w:val="0051410F"/>
    <w:rsid w:val="005329D1"/>
    <w:rsid w:val="00536BD1"/>
    <w:rsid w:val="00546997"/>
    <w:rsid w:val="005902C9"/>
    <w:rsid w:val="0059254E"/>
    <w:rsid w:val="005936C1"/>
    <w:rsid w:val="005B64DB"/>
    <w:rsid w:val="005C3E54"/>
    <w:rsid w:val="005F20D1"/>
    <w:rsid w:val="0063312A"/>
    <w:rsid w:val="0067768A"/>
    <w:rsid w:val="0068433B"/>
    <w:rsid w:val="00687D04"/>
    <w:rsid w:val="006D11E7"/>
    <w:rsid w:val="006D3442"/>
    <w:rsid w:val="006E41C7"/>
    <w:rsid w:val="006F0875"/>
    <w:rsid w:val="007210B7"/>
    <w:rsid w:val="00794EF8"/>
    <w:rsid w:val="007D3C44"/>
    <w:rsid w:val="007E0129"/>
    <w:rsid w:val="007E303F"/>
    <w:rsid w:val="00821080"/>
    <w:rsid w:val="00851505"/>
    <w:rsid w:val="00852B8E"/>
    <w:rsid w:val="008D7343"/>
    <w:rsid w:val="008E0CF3"/>
    <w:rsid w:val="00912993"/>
    <w:rsid w:val="00923CD0"/>
    <w:rsid w:val="00930A78"/>
    <w:rsid w:val="009708A6"/>
    <w:rsid w:val="009A4F55"/>
    <w:rsid w:val="009C5222"/>
    <w:rsid w:val="009E0937"/>
    <w:rsid w:val="009F59F5"/>
    <w:rsid w:val="009F5F73"/>
    <w:rsid w:val="00A2050F"/>
    <w:rsid w:val="00A44B3E"/>
    <w:rsid w:val="00A45394"/>
    <w:rsid w:val="00A536BF"/>
    <w:rsid w:val="00AA1D8D"/>
    <w:rsid w:val="00AA6ED1"/>
    <w:rsid w:val="00AB464B"/>
    <w:rsid w:val="00B12891"/>
    <w:rsid w:val="00B12F99"/>
    <w:rsid w:val="00B23C9C"/>
    <w:rsid w:val="00B26894"/>
    <w:rsid w:val="00B35EDD"/>
    <w:rsid w:val="00B421AE"/>
    <w:rsid w:val="00B47730"/>
    <w:rsid w:val="00B51BBB"/>
    <w:rsid w:val="00B5583B"/>
    <w:rsid w:val="00B629AE"/>
    <w:rsid w:val="00B6597D"/>
    <w:rsid w:val="00BB0FA7"/>
    <w:rsid w:val="00BB6709"/>
    <w:rsid w:val="00BE236F"/>
    <w:rsid w:val="00BE6F86"/>
    <w:rsid w:val="00BF7609"/>
    <w:rsid w:val="00C3578D"/>
    <w:rsid w:val="00C472BC"/>
    <w:rsid w:val="00C47BEA"/>
    <w:rsid w:val="00C57601"/>
    <w:rsid w:val="00C663C6"/>
    <w:rsid w:val="00C81872"/>
    <w:rsid w:val="00CB0664"/>
    <w:rsid w:val="00CC5F53"/>
    <w:rsid w:val="00CF085F"/>
    <w:rsid w:val="00D15C58"/>
    <w:rsid w:val="00D234E8"/>
    <w:rsid w:val="00D258C6"/>
    <w:rsid w:val="00D32AFB"/>
    <w:rsid w:val="00DC2A5D"/>
    <w:rsid w:val="00E37202"/>
    <w:rsid w:val="00E406AC"/>
    <w:rsid w:val="00E60939"/>
    <w:rsid w:val="00E75A27"/>
    <w:rsid w:val="00E76EF8"/>
    <w:rsid w:val="00EB03AE"/>
    <w:rsid w:val="00EC250E"/>
    <w:rsid w:val="00EE62B1"/>
    <w:rsid w:val="00EF5D3B"/>
    <w:rsid w:val="00F01CBA"/>
    <w:rsid w:val="00F11E67"/>
    <w:rsid w:val="00F4352B"/>
    <w:rsid w:val="00F46D3E"/>
    <w:rsid w:val="00F94017"/>
    <w:rsid w:val="00FC3F90"/>
    <w:rsid w:val="00FC693F"/>
    <w:rsid w:val="00FD47E8"/>
    <w:rsid w:val="00FE3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71D959"/>
  <w14:defaultImageDpi w14:val="300"/>
  <w15:docId w15:val="{10E519F3-97A2-CA4E-8D85-E6150F1B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Heading">
    <w:name w:val="Section Heading"/>
    <w:pPr>
      <w:keepNext/>
      <w:spacing w:before="240" w:after="120"/>
    </w:pPr>
    <w:rPr>
      <w:rFonts w:ascii="Arial" w:eastAsia="Arial" w:hAnsi="Arial"/>
      <w:b/>
      <w:color w:val="000000"/>
      <w:sz w:val="24"/>
    </w:rPr>
  </w:style>
  <w:style w:type="paragraph" w:customStyle="1" w:styleId="Subheading">
    <w:name w:val="Subheading"/>
    <w:pPr>
      <w:spacing w:before="120" w:after="60"/>
    </w:pPr>
    <w:rPr>
      <w:rFonts w:ascii="Arial" w:eastAsia="Arial" w:hAnsi="Arial"/>
      <w:b/>
      <w:sz w:val="20"/>
    </w:rPr>
  </w:style>
  <w:style w:type="paragraph" w:customStyle="1" w:styleId="Instruction">
    <w:name w:val="Instruction"/>
    <w:pPr>
      <w:spacing w:after="60"/>
    </w:pPr>
    <w:rPr>
      <w:rFonts w:ascii="Arial" w:eastAsia="Arial" w:hAnsi="Arial"/>
      <w:i/>
      <w:color w:val="646464"/>
      <w:sz w:val="18"/>
    </w:rPr>
  </w:style>
  <w:style w:type="paragraph" w:styleId="Revision">
    <w:name w:val="Revision"/>
    <w:hidden/>
    <w:uiPriority w:val="99"/>
    <w:semiHidden/>
    <w:rsid w:val="00F4352B"/>
    <w:pPr>
      <w:spacing w:after="0" w:line="240" w:lineRule="auto"/>
    </w:pPr>
    <w:rPr>
      <w:rFonts w:ascii="Arial" w:eastAsia="Arial" w:hAnsi="Arial"/>
      <w:sz w:val="20"/>
    </w:rPr>
  </w:style>
  <w:style w:type="character" w:styleId="CommentReference">
    <w:name w:val="annotation reference"/>
    <w:basedOn w:val="DefaultParagraphFont"/>
    <w:uiPriority w:val="99"/>
    <w:semiHidden/>
    <w:unhideWhenUsed/>
    <w:rsid w:val="002C7AAE"/>
    <w:rPr>
      <w:sz w:val="16"/>
      <w:szCs w:val="16"/>
    </w:rPr>
  </w:style>
  <w:style w:type="paragraph" w:styleId="CommentText">
    <w:name w:val="annotation text"/>
    <w:basedOn w:val="Normal"/>
    <w:link w:val="CommentTextChar"/>
    <w:uiPriority w:val="99"/>
    <w:semiHidden/>
    <w:unhideWhenUsed/>
    <w:rsid w:val="002C7AAE"/>
    <w:pPr>
      <w:spacing w:line="240" w:lineRule="auto"/>
    </w:pPr>
    <w:rPr>
      <w:szCs w:val="20"/>
    </w:rPr>
  </w:style>
  <w:style w:type="character" w:customStyle="1" w:styleId="CommentTextChar">
    <w:name w:val="Comment Text Char"/>
    <w:basedOn w:val="DefaultParagraphFont"/>
    <w:link w:val="CommentText"/>
    <w:uiPriority w:val="99"/>
    <w:semiHidden/>
    <w:rsid w:val="002C7AAE"/>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2C7AAE"/>
    <w:rPr>
      <w:b/>
      <w:bCs/>
    </w:rPr>
  </w:style>
  <w:style w:type="character" w:customStyle="1" w:styleId="CommentSubjectChar">
    <w:name w:val="Comment Subject Char"/>
    <w:basedOn w:val="CommentTextChar"/>
    <w:link w:val="CommentSubject"/>
    <w:uiPriority w:val="99"/>
    <w:semiHidden/>
    <w:rsid w:val="002C7AAE"/>
    <w:rPr>
      <w:rFonts w:ascii="Arial" w:eastAsia="Arial" w:hAnsi="Arial"/>
      <w:b/>
      <w:bCs/>
      <w:sz w:val="20"/>
      <w:szCs w:val="20"/>
    </w:rPr>
  </w:style>
  <w:style w:type="paragraph" w:styleId="NormalWeb">
    <w:name w:val="Normal (Web)"/>
    <w:basedOn w:val="Normal"/>
    <w:uiPriority w:val="99"/>
    <w:unhideWhenUsed/>
    <w:rsid w:val="005F20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B6709"/>
    <w:rPr>
      <w:color w:val="0000FF" w:themeColor="hyperlink"/>
      <w:u w:val="single"/>
    </w:rPr>
  </w:style>
  <w:style w:type="character" w:styleId="UnresolvedMention">
    <w:name w:val="Unresolved Mention"/>
    <w:basedOn w:val="DefaultParagraphFont"/>
    <w:uiPriority w:val="99"/>
    <w:semiHidden/>
    <w:unhideWhenUsed/>
    <w:rsid w:val="00BB6709"/>
    <w:rPr>
      <w:color w:val="605E5C"/>
      <w:shd w:val="clear" w:color="auto" w:fill="E1DFDD"/>
    </w:rPr>
  </w:style>
  <w:style w:type="character" w:customStyle="1" w:styleId="apple-converted-space">
    <w:name w:val="apple-converted-space"/>
    <w:basedOn w:val="DefaultParagraphFont"/>
    <w:rsid w:val="00B26894"/>
  </w:style>
  <w:style w:type="paragraph" w:customStyle="1" w:styleId="isselectedend">
    <w:name w:val="isselectedend"/>
    <w:basedOn w:val="Normal"/>
    <w:rsid w:val="00B35EDD"/>
    <w:pPr>
      <w:spacing w:before="100" w:beforeAutospacing="1" w:after="100" w:afterAutospacing="1" w:line="240" w:lineRule="auto"/>
    </w:pPr>
    <w:rPr>
      <w:rFonts w:ascii="Times New Roman" w:eastAsia="Times New Roman" w:hAnsi="Times New Roman" w:cs="Times New Roman"/>
      <w:sz w:val="24"/>
      <w:szCs w:val="24"/>
      <w:lang w:val="en-CH"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guides.tcd.ie/academic-integrity/ready-steady-writ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antza@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8</Pages>
  <Words>2938</Words>
  <Characters>17280</Characters>
  <Application>Microsoft Office Word</Application>
  <DocSecurity>0</DocSecurity>
  <Lines>384</Lines>
  <Paragraphs>232</Paragraphs>
  <ScaleCrop>false</ScaleCrop>
  <HeadingPairs>
    <vt:vector size="2" baseType="variant">
      <vt:variant>
        <vt:lpstr>Title</vt:lpstr>
      </vt:variant>
      <vt:variant>
        <vt:i4>1</vt:i4>
      </vt:variant>
    </vt:vector>
  </HeadingPairs>
  <TitlesOfParts>
    <vt:vector size="1" baseType="lpstr">
      <vt:lpstr>MSc Digital Marketing Strategy Module Outline Template 2025-2026</vt:lpstr>
    </vt:vector>
  </TitlesOfParts>
  <Manager/>
  <Company/>
  <LinksUpToDate>false</LinksUpToDate>
  <CharactersWithSpaces>19986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Amanda Shantz</cp:lastModifiedBy>
  <cp:revision>62</cp:revision>
  <dcterms:created xsi:type="dcterms:W3CDTF">2026-06-14T14:41:00Z</dcterms:created>
  <dcterms:modified xsi:type="dcterms:W3CDTF">2026-06-23T09:17:00Z</dcterms:modified>
  <cp:category/>
</cp:coreProperties>
</file>