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1FEF455D" w14:textId="3C94A678" w:rsidR="00D6718A" w:rsidRDefault="0069718B" w:rsidP="00D6718A">
      <w:pPr>
        <w:pStyle w:val="Heading1"/>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EE1BF0">
        <w:rPr>
          <w:rFonts w:ascii="Arial" w:hAnsi="Arial" w:cs="Arial"/>
        </w:rPr>
        <w:t>Derivatives 202</w:t>
      </w:r>
      <w:r w:rsidR="00B5264A">
        <w:rPr>
          <w:rFonts w:ascii="Arial" w:hAnsi="Arial" w:cs="Arial"/>
        </w:rPr>
        <w:t>6</w:t>
      </w:r>
      <w:r w:rsidR="00EE1BF0">
        <w:rPr>
          <w:rFonts w:ascii="Arial" w:hAnsi="Arial" w:cs="Arial"/>
        </w:rPr>
        <w:t>/2</w:t>
      </w:r>
      <w:r w:rsidR="00B5264A">
        <w:rPr>
          <w:rFonts w:ascii="Arial" w:hAnsi="Arial" w:cs="Arial"/>
        </w:rPr>
        <w:t>7</w:t>
      </w:r>
    </w:p>
    <w:p w14:paraId="3944BAB5" w14:textId="77777777" w:rsidR="00D6718A" w:rsidRDefault="00D6718A" w:rsidP="00D6718A"/>
    <w:p w14:paraId="1CBB74E4" w14:textId="6C6627ED" w:rsidR="00D6718A" w:rsidRDefault="00D6718A" w:rsidP="00D6718A">
      <w:pPr>
        <w:pStyle w:val="Heading1"/>
        <w:rPr>
          <w:rFonts w:ascii="Arial" w:hAnsi="Arial" w:cs="Arial"/>
        </w:rPr>
      </w:pPr>
      <w:r>
        <w:rPr>
          <w:rFonts w:ascii="Arial" w:hAnsi="Arial" w:cs="Arial"/>
        </w:rPr>
        <w:t xml:space="preserve">MODULE CODE: </w:t>
      </w:r>
      <w:r w:rsidR="00EE1BF0">
        <w:rPr>
          <w:rFonts w:ascii="Arial" w:hAnsi="Arial" w:cs="Arial"/>
        </w:rPr>
        <w:tab/>
      </w:r>
      <w:r w:rsidR="00EE1BF0">
        <w:rPr>
          <w:rFonts w:ascii="Arial" w:hAnsi="Arial" w:cs="Arial"/>
        </w:rPr>
        <w:tab/>
        <w:t>BUU44650</w:t>
      </w:r>
    </w:p>
    <w:p w14:paraId="5E801F13" w14:textId="77777777" w:rsidR="00D6718A" w:rsidRDefault="00D6718A" w:rsidP="00D6718A"/>
    <w:p w14:paraId="74350A58" w14:textId="5E70BFB1" w:rsidR="00D6718A" w:rsidRDefault="00D6718A" w:rsidP="00D6718A">
      <w:pPr>
        <w:pStyle w:val="Heading1"/>
        <w:rPr>
          <w:rFonts w:ascii="Arial" w:hAnsi="Arial" w:cs="Arial"/>
        </w:rPr>
      </w:pPr>
      <w:r>
        <w:rPr>
          <w:rFonts w:ascii="Arial" w:hAnsi="Arial" w:cs="Arial"/>
        </w:rPr>
        <w:t>MODULE NAME:</w:t>
      </w:r>
      <w:r w:rsidR="00EE1BF0">
        <w:rPr>
          <w:rFonts w:ascii="Arial" w:hAnsi="Arial" w:cs="Arial"/>
        </w:rPr>
        <w:tab/>
      </w:r>
      <w:r w:rsidR="00EE1BF0">
        <w:rPr>
          <w:rFonts w:ascii="Arial" w:hAnsi="Arial" w:cs="Arial"/>
        </w:rPr>
        <w:tab/>
        <w:t xml:space="preserve">Derivatives </w:t>
      </w:r>
    </w:p>
    <w:p w14:paraId="31DAC822" w14:textId="77777777" w:rsidR="00D6718A" w:rsidRDefault="00D6718A" w:rsidP="00D6718A"/>
    <w:p w14:paraId="5368F231" w14:textId="77777777" w:rsidR="002C3831" w:rsidRDefault="002C3831" w:rsidP="00D6718A">
      <w:pPr>
        <w:pStyle w:val="CommentText"/>
        <w:rPr>
          <w:rFonts w:ascii="Arial" w:hAnsi="Arial" w:cs="Arial"/>
        </w:rPr>
      </w:pPr>
    </w:p>
    <w:p w14:paraId="3A8A27C0" w14:textId="77777777" w:rsidR="002C3831" w:rsidRDefault="002C3831" w:rsidP="002C3831">
      <w:pPr>
        <w:pStyle w:val="CommentText"/>
      </w:pPr>
      <w:r>
        <w:rPr>
          <w:rFonts w:ascii="Arial" w:hAnsi="Arial" w:cs="Arial"/>
        </w:rPr>
        <w:t xml:space="preserve">ECTS: </w:t>
      </w:r>
      <w:r>
        <w:t xml:space="preserve"> </w:t>
      </w:r>
      <w:r>
        <w:rPr>
          <w:rFonts w:ascii="Arial" w:hAnsi="Arial" w:cs="Arial"/>
          <w:lang w:val="en-GB"/>
        </w:rPr>
        <w:t>This course carries</w:t>
      </w:r>
      <w:r w:rsidRPr="008260A0">
        <w:rPr>
          <w:rFonts w:ascii="Arial" w:hAnsi="Arial" w:cs="Arial"/>
          <w:lang w:val="en-GB"/>
        </w:rPr>
        <w:t xml:space="preserve"> 5 ECTS credits.</w:t>
      </w:r>
    </w:p>
    <w:p w14:paraId="6123BF20" w14:textId="77777777" w:rsidR="002C3831" w:rsidRDefault="002C3831" w:rsidP="002C3831">
      <w:pPr>
        <w:pStyle w:val="Heading1"/>
        <w:rPr>
          <w:rFonts w:ascii="Arial" w:hAnsi="Arial" w:cs="Arial"/>
        </w:rPr>
      </w:pPr>
    </w:p>
    <w:p w14:paraId="3913CF29" w14:textId="413CDC4B" w:rsidR="002C3831" w:rsidRPr="00B23FB1" w:rsidRDefault="002C3831" w:rsidP="002C3831">
      <w:pPr>
        <w:keepNext/>
        <w:outlineLvl w:val="0"/>
        <w:rPr>
          <w:rFonts w:ascii="Arial" w:hAnsi="Arial" w:cs="Arial"/>
          <w:bCs/>
        </w:rPr>
      </w:pPr>
      <w:r w:rsidRPr="002677EF">
        <w:rPr>
          <w:rFonts w:ascii="Arial" w:hAnsi="Arial" w:cs="Arial"/>
          <w:b/>
          <w:bCs/>
        </w:rPr>
        <w:t xml:space="preserve">Lecturer: </w:t>
      </w:r>
      <w:r w:rsidR="005F4909">
        <w:rPr>
          <w:rFonts w:ascii="Arial" w:hAnsi="Arial" w:cs="Arial"/>
          <w:bCs/>
        </w:rPr>
        <w:t>Niamh Wylie</w:t>
      </w:r>
      <w:r w:rsidRPr="002677EF">
        <w:rPr>
          <w:rFonts w:ascii="Arial" w:hAnsi="Arial" w:cs="Arial"/>
          <w:bCs/>
        </w:rPr>
        <w:tab/>
      </w:r>
    </w:p>
    <w:p w14:paraId="47FF3987" w14:textId="3990BAB8" w:rsidR="002C3831" w:rsidRPr="002677EF" w:rsidRDefault="002C3831" w:rsidP="002C3831">
      <w:pPr>
        <w:keepNext/>
        <w:outlineLvl w:val="1"/>
        <w:rPr>
          <w:rFonts w:ascii="Arial" w:hAnsi="Arial" w:cs="Arial"/>
          <w:b/>
          <w:bCs/>
        </w:rPr>
      </w:pPr>
      <w:r w:rsidRPr="002677EF">
        <w:rPr>
          <w:rFonts w:ascii="Arial" w:hAnsi="Arial" w:cs="Arial"/>
          <w:b/>
          <w:bCs/>
        </w:rPr>
        <w:t xml:space="preserve">Phone: </w:t>
      </w:r>
      <w:r w:rsidRPr="002677EF">
        <w:rPr>
          <w:rFonts w:ascii="Arial" w:hAnsi="Arial" w:cs="Arial"/>
          <w:bCs/>
        </w:rPr>
        <w:t>0</w:t>
      </w:r>
      <w:r w:rsidR="005F4909">
        <w:rPr>
          <w:rFonts w:ascii="Arial" w:hAnsi="Arial" w:cs="Arial"/>
          <w:bCs/>
        </w:rPr>
        <w:t>87 4294294</w:t>
      </w:r>
      <w:r w:rsidRPr="002677EF">
        <w:rPr>
          <w:rFonts w:ascii="Arial" w:hAnsi="Arial" w:cs="Arial"/>
          <w:b/>
          <w:bCs/>
        </w:rPr>
        <w:tab/>
      </w:r>
    </w:p>
    <w:p w14:paraId="254EBD85" w14:textId="2BCF959F" w:rsidR="002C3831" w:rsidRPr="002677EF" w:rsidRDefault="002C3831" w:rsidP="002C3831">
      <w:pPr>
        <w:keepNext/>
        <w:outlineLvl w:val="0"/>
        <w:rPr>
          <w:rFonts w:ascii="Arial" w:hAnsi="Arial" w:cs="Arial"/>
          <w:bCs/>
        </w:rPr>
      </w:pPr>
      <w:r w:rsidRPr="002677EF">
        <w:rPr>
          <w:rFonts w:ascii="Arial" w:hAnsi="Arial" w:cs="Arial"/>
          <w:b/>
          <w:bCs/>
        </w:rPr>
        <w:t xml:space="preserve">E-mail: </w:t>
      </w:r>
      <w:r w:rsidR="005F4909">
        <w:rPr>
          <w:rFonts w:ascii="Arial" w:hAnsi="Arial" w:cs="Arial"/>
          <w:bCs/>
        </w:rPr>
        <w:t>n</w:t>
      </w:r>
      <w:r w:rsidR="00610E60">
        <w:rPr>
          <w:rFonts w:ascii="Arial" w:hAnsi="Arial" w:cs="Arial"/>
          <w:bCs/>
        </w:rPr>
        <w:t>wylie</w:t>
      </w:r>
      <w:r w:rsidRPr="002677EF">
        <w:rPr>
          <w:rFonts w:ascii="Arial" w:hAnsi="Arial" w:cs="Arial"/>
          <w:bCs/>
        </w:rPr>
        <w:t>@tcd.ie</w:t>
      </w:r>
      <w:r w:rsidRPr="002677EF">
        <w:rPr>
          <w:rFonts w:ascii="Arial" w:hAnsi="Arial" w:cs="Arial"/>
          <w:b/>
          <w:bCs/>
        </w:rPr>
        <w:tab/>
      </w:r>
    </w:p>
    <w:p w14:paraId="58C96A1C" w14:textId="22DA168A" w:rsidR="002C3831" w:rsidRPr="002677EF" w:rsidRDefault="002C3831" w:rsidP="002C3831">
      <w:pPr>
        <w:ind w:left="2127" w:hanging="2127"/>
        <w:rPr>
          <w:rFonts w:ascii="Arial" w:hAnsi="Arial" w:cs="Arial"/>
          <w:b/>
        </w:rPr>
      </w:pPr>
      <w:r w:rsidRPr="002677EF">
        <w:rPr>
          <w:rFonts w:ascii="Arial" w:hAnsi="Arial" w:cs="Arial"/>
          <w:b/>
        </w:rPr>
        <w:t xml:space="preserve">Office Hours: </w:t>
      </w:r>
      <w:r w:rsidR="00610E60" w:rsidRPr="00610E60">
        <w:rPr>
          <w:rFonts w:ascii="Arial" w:hAnsi="Arial" w:cs="Arial"/>
          <w:bCs/>
        </w:rPr>
        <w:t>Room 224:</w:t>
      </w:r>
      <w:r w:rsidR="00610E60">
        <w:rPr>
          <w:rFonts w:ascii="Arial" w:hAnsi="Arial" w:cs="Arial"/>
          <w:b/>
        </w:rPr>
        <w:t xml:space="preserve"> </w:t>
      </w:r>
      <w:r w:rsidRPr="002677EF">
        <w:rPr>
          <w:rFonts w:ascii="Arial" w:hAnsi="Arial" w:cs="Arial"/>
        </w:rPr>
        <w:t>By appointment, please email me to arrange.</w:t>
      </w:r>
      <w:r w:rsidRPr="002677EF">
        <w:rPr>
          <w:rFonts w:ascii="Arial" w:hAnsi="Arial" w:cs="Arial"/>
        </w:rPr>
        <w:tab/>
      </w:r>
    </w:p>
    <w:p w14:paraId="78B6FE64" w14:textId="77777777" w:rsidR="002C3831" w:rsidRDefault="002C3831" w:rsidP="00D6718A">
      <w:pPr>
        <w:pStyle w:val="CommentText"/>
        <w:rPr>
          <w:rFonts w:ascii="Arial" w:hAnsi="Arial" w:cs="Arial"/>
        </w:rPr>
      </w:pPr>
    </w:p>
    <w:p w14:paraId="7DF5B803" w14:textId="77777777" w:rsidR="002C3831" w:rsidRDefault="002C3831" w:rsidP="00D6718A">
      <w:pPr>
        <w:pStyle w:val="CommentText"/>
        <w:rPr>
          <w:rFonts w:ascii="Arial" w:hAnsi="Arial" w:cs="Arial"/>
        </w:rPr>
      </w:pPr>
    </w:p>
    <w:p w14:paraId="035B352A" w14:textId="77777777" w:rsidR="00D6718A" w:rsidRDefault="00D6718A" w:rsidP="00D6718A">
      <w:pPr>
        <w:pStyle w:val="Heading1"/>
        <w:rPr>
          <w:rFonts w:ascii="Arial" w:hAnsi="Arial" w:cs="Arial"/>
        </w:rPr>
      </w:pPr>
      <w:r>
        <w:rPr>
          <w:rFonts w:ascii="Arial" w:hAnsi="Arial" w:cs="Arial"/>
        </w:rPr>
        <w:t xml:space="preserve">MODULE DESCRIPTION </w:t>
      </w:r>
    </w:p>
    <w:p w14:paraId="5D1338B0" w14:textId="77777777" w:rsidR="00D6718A" w:rsidRDefault="00D6718A" w:rsidP="00D6718A">
      <w:pPr>
        <w:jc w:val="both"/>
        <w:rPr>
          <w:rFonts w:ascii="Arial" w:hAnsi="Arial" w:cs="Arial"/>
          <w:b/>
        </w:rPr>
      </w:pPr>
    </w:p>
    <w:p w14:paraId="3E7F1FFB" w14:textId="118043A9" w:rsidR="00EE1BF0" w:rsidRPr="00EE1BF0" w:rsidRDefault="00EE1BF0" w:rsidP="00EE1BF0">
      <w:pPr>
        <w:autoSpaceDE w:val="0"/>
        <w:autoSpaceDN w:val="0"/>
        <w:adjustRightInd w:val="0"/>
        <w:jc w:val="both"/>
        <w:rPr>
          <w:rFonts w:ascii="Arial" w:hAnsi="Arial" w:cs="Arial"/>
          <w:lang w:eastAsia="en-IE"/>
        </w:rPr>
      </w:pPr>
      <w:r w:rsidRPr="00EE1BF0">
        <w:rPr>
          <w:rFonts w:ascii="Arial" w:hAnsi="Arial" w:cs="Arial"/>
          <w:lang w:eastAsia="en-IE"/>
        </w:rPr>
        <w:t xml:space="preserve">Derivatives have become extremely popular investment tools over the past 30 years, as they allow investors to tailor the amount and type of risk they take, be it risk associated with changes in interest rates, exchange rates, stock prices, commodity prices, inflation and so on. They are used by institutions as well as investors, sometimes to hedge unwanted </w:t>
      </w:r>
      <w:r w:rsidRPr="00EE1BF0">
        <w:rPr>
          <w:rFonts w:ascii="Arial" w:hAnsi="Arial" w:cs="Arial"/>
          <w:lang w:eastAsia="en-IE"/>
        </w:rPr>
        <w:lastRenderedPageBreak/>
        <w:t xml:space="preserve">risks and sometimes to take on additional risk motivated by views regarding future market movements. </w:t>
      </w:r>
      <w:r w:rsidRPr="00EE1BF0">
        <w:rPr>
          <w:rFonts w:ascii="Arial" w:hAnsi="Arial" w:cs="Arial"/>
        </w:rPr>
        <w:t>This module examines the primary types of derivatives (forwards, futures, options and swaps), shows how they are used to achieve various hed</w:t>
      </w:r>
      <w:r w:rsidR="002C3831">
        <w:rPr>
          <w:rFonts w:ascii="Arial" w:hAnsi="Arial" w:cs="Arial"/>
        </w:rPr>
        <w:t>ging and speculating objectives and</w:t>
      </w:r>
      <w:r w:rsidRPr="00EE1BF0">
        <w:rPr>
          <w:rFonts w:ascii="Arial" w:hAnsi="Arial" w:cs="Arial"/>
        </w:rPr>
        <w:t xml:space="preserve"> outlines a fr</w:t>
      </w:r>
      <w:r w:rsidR="002C3831">
        <w:rPr>
          <w:rFonts w:ascii="Arial" w:hAnsi="Arial" w:cs="Arial"/>
        </w:rPr>
        <w:t xml:space="preserve">amework for pricing derivatives. </w:t>
      </w:r>
      <w:r w:rsidRPr="00EE1BF0">
        <w:rPr>
          <w:rFonts w:ascii="Arial" w:hAnsi="Arial" w:cs="Arial"/>
        </w:rPr>
        <w:t xml:space="preserve">The objective is to provide a good grounding in techniques and approaches for the measurement and management of financial risks. </w:t>
      </w:r>
    </w:p>
    <w:p w14:paraId="05AB5645" w14:textId="0844CEBD" w:rsidR="00EE1BF0" w:rsidRDefault="00EE1BF0" w:rsidP="00EE1BF0">
      <w:pPr>
        <w:autoSpaceDE w:val="0"/>
        <w:autoSpaceDN w:val="0"/>
        <w:adjustRightInd w:val="0"/>
        <w:jc w:val="both"/>
        <w:rPr>
          <w:rFonts w:ascii="Arial" w:hAnsi="Arial" w:cs="Arial"/>
        </w:rPr>
      </w:pPr>
    </w:p>
    <w:p w14:paraId="7BBB7A40" w14:textId="77777777" w:rsidR="00EE1BF0" w:rsidRPr="00EE1BF0" w:rsidRDefault="00EE1BF0" w:rsidP="00EE1BF0">
      <w:pPr>
        <w:autoSpaceDE w:val="0"/>
        <w:autoSpaceDN w:val="0"/>
        <w:adjustRightInd w:val="0"/>
        <w:jc w:val="both"/>
        <w:rPr>
          <w:rFonts w:ascii="Arial" w:hAnsi="Arial" w:cs="Arial"/>
        </w:rPr>
      </w:pPr>
    </w:p>
    <w:p w14:paraId="624DD42C" w14:textId="77777777" w:rsidR="00EE1BF0" w:rsidRPr="00EE1BF0" w:rsidRDefault="00EE1BF0" w:rsidP="00EE1BF0">
      <w:pPr>
        <w:autoSpaceDE w:val="0"/>
        <w:autoSpaceDN w:val="0"/>
        <w:adjustRightInd w:val="0"/>
        <w:jc w:val="both"/>
        <w:rPr>
          <w:rFonts w:ascii="Arial" w:hAnsi="Arial" w:cs="Arial"/>
        </w:rPr>
      </w:pPr>
    </w:p>
    <w:p w14:paraId="5B6881C2" w14:textId="4194AD37" w:rsidR="00D6718A" w:rsidRDefault="00D6718A" w:rsidP="00D6718A">
      <w:pPr>
        <w:rPr>
          <w:rFonts w:ascii="Arial" w:hAnsi="Arial" w:cs="Arial"/>
          <w:b/>
        </w:rPr>
      </w:pPr>
      <w:r>
        <w:rPr>
          <w:rFonts w:ascii="Arial" w:hAnsi="Arial" w:cs="Arial"/>
          <w:b/>
        </w:rPr>
        <w:t>LEARNING AND TEACHING APPROACH</w:t>
      </w:r>
    </w:p>
    <w:p w14:paraId="7001FB8A" w14:textId="20AA8D8B" w:rsidR="001F198D" w:rsidRDefault="001F198D" w:rsidP="001F198D">
      <w:pPr>
        <w:jc w:val="both"/>
        <w:rPr>
          <w:rFonts w:ascii="Arial" w:hAnsi="Arial" w:cs="Arial"/>
        </w:rPr>
      </w:pPr>
    </w:p>
    <w:p w14:paraId="4A04E277" w14:textId="6BF419CE" w:rsidR="002C3831" w:rsidRDefault="002C3831" w:rsidP="001F198D">
      <w:pPr>
        <w:jc w:val="both"/>
        <w:rPr>
          <w:rFonts w:ascii="Arial" w:hAnsi="Arial" w:cs="Arial"/>
          <w:lang w:val="en-US"/>
        </w:rPr>
      </w:pPr>
      <w:r w:rsidRPr="002677EF">
        <w:rPr>
          <w:rFonts w:ascii="Arial" w:hAnsi="Arial" w:cs="Arial"/>
          <w:lang w:val="en-US"/>
        </w:rPr>
        <w:t>This module is structu</w:t>
      </w:r>
      <w:r>
        <w:rPr>
          <w:rFonts w:ascii="Arial" w:hAnsi="Arial" w:cs="Arial"/>
          <w:lang w:val="en-US"/>
        </w:rPr>
        <w:t>red around a series of lectures and</w:t>
      </w:r>
      <w:r w:rsidRPr="002677EF">
        <w:rPr>
          <w:rFonts w:ascii="Arial" w:hAnsi="Arial" w:cs="Arial"/>
          <w:lang w:val="en-US"/>
        </w:rPr>
        <w:t xml:space="preserve"> </w:t>
      </w:r>
      <w:r>
        <w:rPr>
          <w:rFonts w:ascii="Arial" w:hAnsi="Arial" w:cs="Arial"/>
          <w:lang w:val="en-US"/>
        </w:rPr>
        <w:t xml:space="preserve">tutorials. </w:t>
      </w:r>
      <w:r w:rsidR="00E157B7">
        <w:rPr>
          <w:rFonts w:ascii="Arial" w:hAnsi="Arial" w:cs="Arial"/>
          <w:lang w:val="en-US"/>
        </w:rPr>
        <w:t xml:space="preserve">Lecture slides will be provided in advance of lectures. </w:t>
      </w:r>
      <w:r w:rsidR="00445ED5">
        <w:rPr>
          <w:rFonts w:ascii="Arial" w:hAnsi="Arial" w:cs="Arial"/>
          <w:lang w:val="en-US"/>
        </w:rPr>
        <w:t>Students will be provided with practice questions and solutions will be discussed in tutorials.</w:t>
      </w:r>
    </w:p>
    <w:p w14:paraId="5666F626" w14:textId="565206CF" w:rsidR="00AC24F3" w:rsidRDefault="00AC24F3" w:rsidP="001F198D">
      <w:pPr>
        <w:jc w:val="both"/>
        <w:rPr>
          <w:rFonts w:ascii="Arial" w:hAnsi="Arial" w:cs="Arial"/>
        </w:rPr>
      </w:pPr>
    </w:p>
    <w:p w14:paraId="5346E736" w14:textId="5ABD6CE6" w:rsidR="00D6718A" w:rsidRDefault="00D6718A" w:rsidP="00D6718A">
      <w:pPr>
        <w:jc w:val="both"/>
        <w:rPr>
          <w:rFonts w:ascii="Arial" w:hAnsi="Arial" w:cs="Arial"/>
        </w:rPr>
      </w:pPr>
    </w:p>
    <w:p w14:paraId="6220E67F" w14:textId="45656349" w:rsidR="00D6718A" w:rsidRPr="00073312" w:rsidRDefault="00073312" w:rsidP="00D6718A">
      <w:pPr>
        <w:pStyle w:val="Heading1"/>
        <w:rPr>
          <w:rFonts w:ascii="Arial" w:hAnsi="Arial" w:cs="Arial"/>
          <w:b w:val="0"/>
          <w:bCs w:val="0"/>
          <w:i/>
          <w:iCs/>
        </w:rPr>
      </w:pPr>
      <w:r w:rsidRPr="002C3831">
        <w:rPr>
          <w:rFonts w:ascii="Arial" w:hAnsi="Arial" w:cs="Arial"/>
        </w:rPr>
        <w:t>MODULE-LEVEL</w:t>
      </w:r>
      <w:r>
        <w:rPr>
          <w:rFonts w:ascii="Arial" w:hAnsi="Arial" w:cs="Arial"/>
        </w:rPr>
        <w:t xml:space="preserve"> </w:t>
      </w:r>
      <w:r w:rsidR="00D6718A">
        <w:rPr>
          <w:rFonts w:ascii="Arial" w:hAnsi="Arial" w:cs="Arial"/>
        </w:rPr>
        <w:t>LEARNING OUTCOMES</w:t>
      </w:r>
      <w:r>
        <w:rPr>
          <w:rFonts w:ascii="Arial" w:hAnsi="Arial" w:cs="Arial"/>
        </w:rPr>
        <w:t xml:space="preserve"> </w:t>
      </w:r>
    </w:p>
    <w:p w14:paraId="7FF78580" w14:textId="77777777" w:rsidR="00EE1BF0" w:rsidRPr="00EE1BF0" w:rsidRDefault="00EE1BF0" w:rsidP="00EE1BF0">
      <w:pPr>
        <w:pStyle w:val="NormalWeb"/>
        <w:jc w:val="both"/>
        <w:rPr>
          <w:rFonts w:ascii="Arial" w:hAnsi="Arial" w:cs="Arial"/>
        </w:rPr>
      </w:pPr>
      <w:r w:rsidRPr="00EE1BF0">
        <w:rPr>
          <w:rFonts w:ascii="Arial" w:hAnsi="Arial" w:cs="Arial"/>
        </w:rPr>
        <w:t>Having completed this module, you should be able to:</w:t>
      </w:r>
    </w:p>
    <w:p w14:paraId="55C98805" w14:textId="77777777" w:rsidR="00EE1BF0" w:rsidRPr="00EE1BF0" w:rsidRDefault="00EE1BF0" w:rsidP="00EE1BF0">
      <w:pPr>
        <w:pStyle w:val="NormalWeb"/>
        <w:numPr>
          <w:ilvl w:val="0"/>
          <w:numId w:val="24"/>
        </w:numPr>
        <w:jc w:val="both"/>
        <w:rPr>
          <w:rFonts w:ascii="Arial" w:hAnsi="Arial" w:cs="Arial"/>
        </w:rPr>
      </w:pPr>
      <w:r w:rsidRPr="00EE1BF0">
        <w:rPr>
          <w:rFonts w:ascii="Arial" w:hAnsi="Arial" w:cs="Arial"/>
        </w:rPr>
        <w:t>Provide an understanding of derivatives and introduce the analytics of derivative valuation</w:t>
      </w:r>
    </w:p>
    <w:p w14:paraId="2F73FFDC" w14:textId="77777777" w:rsidR="00EE1BF0" w:rsidRPr="00EE1BF0" w:rsidRDefault="00EE1BF0" w:rsidP="00EE1BF0">
      <w:pPr>
        <w:pStyle w:val="NormalWeb"/>
        <w:numPr>
          <w:ilvl w:val="0"/>
          <w:numId w:val="24"/>
        </w:numPr>
        <w:jc w:val="both"/>
        <w:rPr>
          <w:rFonts w:ascii="Arial" w:hAnsi="Arial" w:cs="Arial"/>
        </w:rPr>
      </w:pPr>
      <w:r w:rsidRPr="00EE1BF0">
        <w:rPr>
          <w:rFonts w:ascii="Arial" w:hAnsi="Arial" w:cs="Arial"/>
        </w:rPr>
        <w:t>Demonstrate how to value forward, futures, swaps and options</w:t>
      </w:r>
    </w:p>
    <w:p w14:paraId="102B5ECF" w14:textId="7FC1ECCB" w:rsidR="00EE1BF0" w:rsidRDefault="00EE1BF0" w:rsidP="00EE1BF0">
      <w:pPr>
        <w:pStyle w:val="NormalWeb"/>
        <w:numPr>
          <w:ilvl w:val="0"/>
          <w:numId w:val="24"/>
        </w:numPr>
        <w:jc w:val="both"/>
        <w:rPr>
          <w:rFonts w:ascii="Arial" w:hAnsi="Arial" w:cs="Arial"/>
        </w:rPr>
      </w:pPr>
      <w:r w:rsidRPr="00EE1BF0">
        <w:rPr>
          <w:rFonts w:ascii="Arial" w:hAnsi="Arial" w:cs="Arial"/>
        </w:rPr>
        <w:t>Describe and appraise how derivatives can be used to achieve various hedging and speculative strategies</w:t>
      </w:r>
    </w:p>
    <w:p w14:paraId="66907EDE" w14:textId="77777777" w:rsidR="00E157B7" w:rsidRPr="00E157B7" w:rsidRDefault="00E157B7" w:rsidP="00E157B7">
      <w:pPr>
        <w:pStyle w:val="ListParagraph"/>
        <w:numPr>
          <w:ilvl w:val="0"/>
          <w:numId w:val="24"/>
        </w:numPr>
        <w:rPr>
          <w:rFonts w:ascii="Arial" w:hAnsi="Arial" w:cs="Arial"/>
        </w:rPr>
      </w:pPr>
      <w:r w:rsidRPr="00E157B7">
        <w:rPr>
          <w:rFonts w:ascii="Arial" w:hAnsi="Arial" w:cs="Arial"/>
        </w:rPr>
        <w:t>Discuss various types of derivatives such as options on stock indices and currencies, futures options and exotic options</w:t>
      </w:r>
    </w:p>
    <w:p w14:paraId="6AE0F467" w14:textId="77777777" w:rsidR="00EE1BF0" w:rsidRPr="00EE1BF0" w:rsidRDefault="00EE1BF0" w:rsidP="00EE1BF0">
      <w:pPr>
        <w:pStyle w:val="NormalWeb"/>
        <w:numPr>
          <w:ilvl w:val="0"/>
          <w:numId w:val="24"/>
        </w:numPr>
        <w:jc w:val="both"/>
        <w:rPr>
          <w:rFonts w:ascii="Arial" w:hAnsi="Arial" w:cs="Arial"/>
        </w:rPr>
      </w:pPr>
      <w:r w:rsidRPr="00EE1BF0">
        <w:rPr>
          <w:rFonts w:ascii="Arial" w:hAnsi="Arial" w:cs="Arial"/>
        </w:rPr>
        <w:t xml:space="preserve">Evaluate previous derivative mishaps and what we can learn from them </w:t>
      </w:r>
    </w:p>
    <w:p w14:paraId="4C5EE1B3" w14:textId="2E9138CD" w:rsidR="00D6718A"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317DBE81" w:rsidR="00D6718A" w:rsidRDefault="00D6718A" w:rsidP="00D6718A">
      <w:pPr>
        <w:pStyle w:val="Heading1"/>
        <w:rPr>
          <w:rFonts w:ascii="Arial" w:hAnsi="Arial" w:cs="Arial"/>
        </w:rPr>
      </w:pPr>
      <w:r>
        <w:rPr>
          <w:rFonts w:ascii="Arial" w:hAnsi="Arial" w:cs="Arial"/>
        </w:rPr>
        <w:t>WORKLOAD</w:t>
      </w:r>
    </w:p>
    <w:p w14:paraId="400215FB" w14:textId="77777777" w:rsidR="00D732E8" w:rsidRPr="00D732E8" w:rsidRDefault="00D732E8" w:rsidP="00D732E8"/>
    <w:tbl>
      <w:tblPr>
        <w:tblStyle w:val="TableGrid"/>
        <w:tblW w:w="0" w:type="auto"/>
        <w:tblInd w:w="0" w:type="dxa"/>
        <w:tblLook w:val="01E0" w:firstRow="1" w:lastRow="1" w:firstColumn="1" w:lastColumn="1" w:noHBand="0" w:noVBand="0"/>
      </w:tblPr>
      <w:tblGrid>
        <w:gridCol w:w="5070"/>
        <w:gridCol w:w="3455"/>
      </w:tblGrid>
      <w:tr w:rsidR="00D6718A"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Default="00D6718A">
            <w:pPr>
              <w:shd w:val="pct25" w:color="auto" w:fill="auto"/>
              <w:jc w:val="both"/>
              <w:rPr>
                <w:rFonts w:ascii="Arial" w:hAnsi="Arial" w:cs="Arial"/>
                <w:b/>
                <w:i/>
              </w:rPr>
            </w:pPr>
            <w:r>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Default="00D6718A">
            <w:pPr>
              <w:shd w:val="pct25" w:color="auto" w:fill="auto"/>
              <w:jc w:val="center"/>
              <w:rPr>
                <w:rFonts w:ascii="Arial" w:hAnsi="Arial" w:cs="Arial"/>
                <w:b/>
                <w:i/>
              </w:rPr>
            </w:pPr>
            <w:r>
              <w:rPr>
                <w:rFonts w:ascii="Arial" w:hAnsi="Arial" w:cs="Arial"/>
                <w:b/>
                <w:i/>
              </w:rPr>
              <w:t>Indicative Number of Hours</w:t>
            </w:r>
          </w:p>
        </w:tc>
      </w:tr>
      <w:tr w:rsidR="0090417E"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Default="0090417E" w:rsidP="0090417E">
            <w:pPr>
              <w:jc w:val="both"/>
              <w:rPr>
                <w:rFonts w:ascii="Arial" w:hAnsi="Arial" w:cs="Arial"/>
                <w:i/>
              </w:rPr>
            </w:pPr>
            <w:r>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3912853C" w:rsidR="0090417E" w:rsidRDefault="00445ED5" w:rsidP="0090417E">
            <w:pPr>
              <w:jc w:val="center"/>
              <w:rPr>
                <w:rFonts w:ascii="Arial" w:hAnsi="Arial" w:cs="Arial"/>
                <w:i/>
              </w:rPr>
            </w:pPr>
            <w:r>
              <w:rPr>
                <w:rFonts w:ascii="Arial" w:hAnsi="Arial" w:cs="Arial"/>
                <w:i/>
              </w:rPr>
              <w:t>22</w:t>
            </w:r>
          </w:p>
        </w:tc>
      </w:tr>
      <w:tr w:rsidR="0090417E"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77777777" w:rsidR="0090417E" w:rsidRDefault="0090417E" w:rsidP="0090417E">
            <w:pPr>
              <w:jc w:val="both"/>
              <w:rPr>
                <w:rFonts w:ascii="Arial" w:hAnsi="Arial" w:cs="Arial"/>
                <w:i/>
              </w:rPr>
            </w:pPr>
            <w:r>
              <w:rPr>
                <w:rFonts w:ascii="Arial" w:hAnsi="Arial" w:cs="Arial"/>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7083A36" w14:textId="6501457D" w:rsidR="0090417E" w:rsidRDefault="00445ED5" w:rsidP="0090417E">
            <w:pPr>
              <w:jc w:val="center"/>
              <w:rPr>
                <w:rFonts w:ascii="Arial" w:hAnsi="Arial" w:cs="Arial"/>
                <w:i/>
              </w:rPr>
            </w:pPr>
            <w:r>
              <w:rPr>
                <w:rFonts w:ascii="Arial" w:hAnsi="Arial" w:cs="Arial"/>
                <w:i/>
              </w:rPr>
              <w:t>18</w:t>
            </w:r>
          </w:p>
        </w:tc>
      </w:tr>
      <w:tr w:rsidR="0090417E"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21E5AF67" w:rsidR="0090417E" w:rsidRDefault="0090417E" w:rsidP="00445ED5">
            <w:pPr>
              <w:jc w:val="both"/>
              <w:rPr>
                <w:rFonts w:ascii="Arial" w:hAnsi="Arial" w:cs="Arial"/>
                <w:i/>
              </w:rPr>
            </w:pPr>
            <w:r>
              <w:rPr>
                <w:rFonts w:ascii="Arial" w:hAnsi="Arial" w:cs="Arial"/>
                <w:i/>
              </w:rPr>
              <w:t xml:space="preserve">Individual </w:t>
            </w:r>
            <w:r w:rsidR="00445ED5">
              <w:rPr>
                <w:rFonts w:ascii="Arial" w:hAnsi="Arial" w:cs="Arial"/>
                <w:i/>
              </w:rPr>
              <w:t>mid-semester exam</w:t>
            </w:r>
          </w:p>
        </w:tc>
        <w:tc>
          <w:tcPr>
            <w:tcW w:w="3455" w:type="dxa"/>
            <w:tcBorders>
              <w:top w:val="single" w:sz="4" w:space="0" w:color="auto"/>
              <w:left w:val="single" w:sz="4" w:space="0" w:color="auto"/>
              <w:bottom w:val="single" w:sz="4" w:space="0" w:color="auto"/>
              <w:right w:val="single" w:sz="4" w:space="0" w:color="auto"/>
            </w:tcBorders>
          </w:tcPr>
          <w:p w14:paraId="3FFAACF4" w14:textId="46EF64F5" w:rsidR="0090417E" w:rsidRDefault="00445ED5" w:rsidP="0090417E">
            <w:pPr>
              <w:jc w:val="center"/>
              <w:rPr>
                <w:rFonts w:ascii="Arial" w:hAnsi="Arial" w:cs="Arial"/>
                <w:i/>
              </w:rPr>
            </w:pPr>
            <w:r>
              <w:rPr>
                <w:rFonts w:ascii="Arial" w:hAnsi="Arial" w:cs="Arial"/>
                <w:i/>
              </w:rPr>
              <w:t>25</w:t>
            </w:r>
          </w:p>
        </w:tc>
      </w:tr>
      <w:tr w:rsidR="0090417E"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77777777" w:rsidR="0090417E" w:rsidRDefault="0090417E" w:rsidP="0090417E">
            <w:pPr>
              <w:jc w:val="both"/>
              <w:rPr>
                <w:rFonts w:ascii="Arial" w:hAnsi="Arial" w:cs="Arial"/>
                <w:i/>
              </w:rPr>
            </w:pPr>
            <w:r>
              <w:rPr>
                <w:rFonts w:ascii="Arial" w:hAnsi="Arial" w:cs="Arial"/>
                <w:i/>
              </w:rPr>
              <w:t>Group assignment</w:t>
            </w:r>
          </w:p>
        </w:tc>
        <w:tc>
          <w:tcPr>
            <w:tcW w:w="3455" w:type="dxa"/>
            <w:tcBorders>
              <w:top w:val="single" w:sz="4" w:space="0" w:color="auto"/>
              <w:left w:val="single" w:sz="4" w:space="0" w:color="auto"/>
              <w:bottom w:val="single" w:sz="4" w:space="0" w:color="auto"/>
              <w:right w:val="single" w:sz="4" w:space="0" w:color="auto"/>
            </w:tcBorders>
          </w:tcPr>
          <w:p w14:paraId="469BD5EF" w14:textId="6258DFB9" w:rsidR="0090417E" w:rsidRDefault="00445ED5" w:rsidP="0090417E">
            <w:pPr>
              <w:jc w:val="center"/>
              <w:rPr>
                <w:rFonts w:ascii="Arial" w:hAnsi="Arial" w:cs="Arial"/>
                <w:i/>
              </w:rPr>
            </w:pPr>
            <w:r>
              <w:rPr>
                <w:rFonts w:ascii="Arial" w:hAnsi="Arial" w:cs="Arial"/>
                <w:i/>
              </w:rPr>
              <w:t>NA</w:t>
            </w:r>
          </w:p>
        </w:tc>
      </w:tr>
      <w:tr w:rsidR="0090417E"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77777777" w:rsidR="0090417E" w:rsidRDefault="0090417E" w:rsidP="0090417E">
            <w:pPr>
              <w:jc w:val="both"/>
              <w:rPr>
                <w:rFonts w:ascii="Arial" w:hAnsi="Arial" w:cs="Arial"/>
                <w:i/>
              </w:rPr>
            </w:pPr>
            <w:r>
              <w:rPr>
                <w:rFonts w:ascii="Arial" w:hAnsi="Arial" w:cs="Arial"/>
                <w:i/>
              </w:rPr>
              <w:lastRenderedPageBreak/>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3752ABBA" w14:textId="6214E303" w:rsidR="0090417E" w:rsidRDefault="00445ED5" w:rsidP="0090417E">
            <w:pPr>
              <w:jc w:val="center"/>
              <w:rPr>
                <w:rFonts w:ascii="Arial" w:hAnsi="Arial" w:cs="Arial"/>
                <w:i/>
              </w:rPr>
            </w:pPr>
            <w:r>
              <w:rPr>
                <w:rFonts w:ascii="Arial" w:hAnsi="Arial" w:cs="Arial"/>
                <w:i/>
              </w:rPr>
              <w:t>30</w:t>
            </w:r>
          </w:p>
        </w:tc>
      </w:tr>
      <w:tr w:rsidR="0090417E"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7777777" w:rsidR="0090417E" w:rsidRDefault="0090417E" w:rsidP="0090417E">
            <w:pPr>
              <w:jc w:val="both"/>
              <w:rPr>
                <w:rFonts w:ascii="Arial" w:hAnsi="Arial" w:cs="Arial"/>
                <w:i/>
              </w:rPr>
            </w:pPr>
            <w:r>
              <w:rPr>
                <w:rFonts w:ascii="Arial" w:hAnsi="Arial" w:cs="Arial"/>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4B982534" w14:textId="3732B790" w:rsidR="0090417E" w:rsidRDefault="00445ED5" w:rsidP="0090417E">
            <w:pPr>
              <w:jc w:val="center"/>
              <w:rPr>
                <w:rFonts w:ascii="Arial" w:hAnsi="Arial" w:cs="Arial"/>
                <w:i/>
              </w:rPr>
            </w:pPr>
            <w:r>
              <w:rPr>
                <w:rFonts w:ascii="Arial" w:hAnsi="Arial" w:cs="Arial"/>
                <w:i/>
              </w:rPr>
              <w:t>30</w:t>
            </w:r>
          </w:p>
        </w:tc>
      </w:tr>
      <w:tr w:rsidR="0090417E"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Default="0090417E" w:rsidP="0090417E">
            <w:pPr>
              <w:jc w:val="both"/>
              <w:rPr>
                <w:rFonts w:ascii="Arial" w:hAnsi="Arial" w:cs="Arial"/>
                <w:b/>
                <w:i/>
              </w:rPr>
            </w:pPr>
            <w:r>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52761AF9" w:rsidR="0090417E" w:rsidRDefault="00445ED5" w:rsidP="0090417E">
            <w:pPr>
              <w:jc w:val="center"/>
              <w:rPr>
                <w:rFonts w:ascii="Arial" w:hAnsi="Arial" w:cs="Arial"/>
                <w:b/>
                <w:i/>
              </w:rPr>
            </w:pPr>
            <w:r>
              <w:rPr>
                <w:rFonts w:ascii="Arial" w:hAnsi="Arial" w:cs="Arial"/>
                <w:b/>
                <w:i/>
              </w:rPr>
              <w:t>125</w:t>
            </w:r>
          </w:p>
        </w:tc>
      </w:tr>
    </w:tbl>
    <w:p w14:paraId="5AEDCC39" w14:textId="77777777" w:rsidR="00D6718A" w:rsidRDefault="00D6718A" w:rsidP="00D6718A">
      <w:pPr>
        <w:rPr>
          <w:rFonts w:ascii="Arial" w:hAnsi="Arial" w:cs="Arial"/>
        </w:rPr>
      </w:pPr>
    </w:p>
    <w:p w14:paraId="62930D83" w14:textId="77777777" w:rsidR="00445ED5" w:rsidRDefault="00445ED5" w:rsidP="00D6718A">
      <w:pPr>
        <w:pStyle w:val="Heading1"/>
        <w:rPr>
          <w:rFonts w:ascii="Arial" w:hAnsi="Arial" w:cs="Arial"/>
        </w:rPr>
      </w:pPr>
    </w:p>
    <w:p w14:paraId="6FC08C62" w14:textId="3D9EAAF0" w:rsidR="00D6718A" w:rsidRDefault="00D6718A" w:rsidP="00D6718A">
      <w:pPr>
        <w:pStyle w:val="Heading1"/>
        <w:rPr>
          <w:rFonts w:ascii="Arial" w:hAnsi="Arial" w:cs="Arial"/>
        </w:rPr>
      </w:pPr>
      <w:r>
        <w:rPr>
          <w:rFonts w:ascii="Arial" w:hAnsi="Arial" w:cs="Arial"/>
        </w:rPr>
        <w:t>TEXTBOOKS AND REQUIRED RESOURCES</w:t>
      </w:r>
    </w:p>
    <w:p w14:paraId="48D67819" w14:textId="77777777" w:rsidR="00D6718A" w:rsidRDefault="00D6718A" w:rsidP="00D6718A"/>
    <w:p w14:paraId="66CA3185" w14:textId="72CDCE85" w:rsidR="00D6718A" w:rsidRDefault="002C3831" w:rsidP="00D6718A">
      <w:pPr>
        <w:rPr>
          <w:rFonts w:ascii="Arial" w:hAnsi="Arial" w:cs="Arial"/>
          <w:b/>
          <w:bCs/>
          <w:sz w:val="22"/>
          <w:szCs w:val="22"/>
        </w:rPr>
      </w:pPr>
      <w:bookmarkStart w:id="0" w:name="OLE_LINK1"/>
      <w:r>
        <w:rPr>
          <w:rFonts w:ascii="Arial" w:hAnsi="Arial" w:cs="Arial"/>
          <w:b/>
          <w:bCs/>
          <w:sz w:val="22"/>
          <w:szCs w:val="22"/>
        </w:rPr>
        <w:t>C</w:t>
      </w:r>
      <w:r w:rsidR="00D6718A">
        <w:rPr>
          <w:rFonts w:ascii="Arial" w:hAnsi="Arial" w:cs="Arial"/>
          <w:b/>
          <w:bCs/>
          <w:sz w:val="22"/>
          <w:szCs w:val="22"/>
        </w:rPr>
        <w:t xml:space="preserve">ore course textbook: </w:t>
      </w:r>
    </w:p>
    <w:p w14:paraId="20077AB1" w14:textId="5F550961" w:rsidR="00EE1BF0" w:rsidRDefault="00EE1BF0" w:rsidP="00D6718A">
      <w:pPr>
        <w:rPr>
          <w:rFonts w:ascii="Arial" w:hAnsi="Arial" w:cs="Arial"/>
          <w:b/>
          <w:bCs/>
          <w:sz w:val="22"/>
          <w:szCs w:val="22"/>
        </w:rPr>
      </w:pPr>
    </w:p>
    <w:p w14:paraId="1467E2F0" w14:textId="0C4C5F56" w:rsidR="002C3831" w:rsidRPr="00445ED5" w:rsidRDefault="002C3831" w:rsidP="002C3831">
      <w:pPr>
        <w:jc w:val="both"/>
        <w:rPr>
          <w:rFonts w:ascii="Arial" w:hAnsi="Arial" w:cs="Arial"/>
        </w:rPr>
      </w:pPr>
      <w:r w:rsidRPr="00445ED5">
        <w:rPr>
          <w:rFonts w:ascii="Arial" w:hAnsi="Arial" w:cs="Arial"/>
        </w:rPr>
        <w:t>Hull, J. (20</w:t>
      </w:r>
      <w:r w:rsidR="00610E60">
        <w:rPr>
          <w:rFonts w:ascii="Arial" w:hAnsi="Arial" w:cs="Arial"/>
        </w:rPr>
        <w:t>22</w:t>
      </w:r>
      <w:r w:rsidRPr="00445ED5">
        <w:rPr>
          <w:rFonts w:ascii="Arial" w:hAnsi="Arial" w:cs="Arial"/>
        </w:rPr>
        <w:t xml:space="preserve">), </w:t>
      </w:r>
      <w:r w:rsidRPr="00445ED5">
        <w:rPr>
          <w:rFonts w:ascii="Arial" w:hAnsi="Arial" w:cs="Arial"/>
          <w:i/>
        </w:rPr>
        <w:t>Fundamentals of Futures and Options Markets,</w:t>
      </w:r>
      <w:r w:rsidRPr="00445ED5">
        <w:rPr>
          <w:rFonts w:ascii="Arial" w:hAnsi="Arial" w:cs="Arial"/>
        </w:rPr>
        <w:t xml:space="preserve"> </w:t>
      </w:r>
      <w:r w:rsidR="00610E60">
        <w:rPr>
          <w:rFonts w:ascii="Arial" w:hAnsi="Arial" w:cs="Arial"/>
        </w:rPr>
        <w:t>Ninth</w:t>
      </w:r>
      <w:r w:rsidRPr="00445ED5">
        <w:rPr>
          <w:rFonts w:ascii="Arial" w:hAnsi="Arial" w:cs="Arial"/>
        </w:rPr>
        <w:t xml:space="preserve"> Edition, Pearson Education Limited </w:t>
      </w:r>
    </w:p>
    <w:p w14:paraId="7079D0E0" w14:textId="77777777" w:rsidR="002C3831" w:rsidRPr="00445ED5" w:rsidRDefault="002C3831" w:rsidP="002C3831">
      <w:pPr>
        <w:jc w:val="both"/>
        <w:rPr>
          <w:rFonts w:ascii="Arial" w:hAnsi="Arial" w:cs="Arial"/>
        </w:rPr>
      </w:pPr>
    </w:p>
    <w:p w14:paraId="0C4F0A5A" w14:textId="77777777" w:rsidR="002C3831" w:rsidRPr="00445ED5" w:rsidRDefault="002C3831" w:rsidP="002C3831">
      <w:pPr>
        <w:jc w:val="both"/>
        <w:rPr>
          <w:rFonts w:ascii="Arial" w:hAnsi="Arial" w:cs="Arial"/>
        </w:rPr>
      </w:pPr>
      <w:r w:rsidRPr="00445ED5">
        <w:rPr>
          <w:rFonts w:ascii="Arial" w:hAnsi="Arial" w:cs="Arial"/>
        </w:rPr>
        <w:t xml:space="preserve">Reference will be made to additional material throughout the course. Please refer to Blackboard for details. </w:t>
      </w:r>
    </w:p>
    <w:p w14:paraId="5C55BA22" w14:textId="5FD299C5" w:rsidR="00EE1BF0" w:rsidRPr="00445ED5" w:rsidRDefault="00EE1BF0" w:rsidP="00D6718A">
      <w:pPr>
        <w:rPr>
          <w:rFonts w:ascii="Arial" w:hAnsi="Arial" w:cs="Arial"/>
          <w:b/>
          <w:bCs/>
          <w:sz w:val="22"/>
          <w:szCs w:val="22"/>
        </w:rPr>
      </w:pPr>
    </w:p>
    <w:p w14:paraId="4C60A6D7" w14:textId="125DD249" w:rsidR="00EE1BF0" w:rsidRDefault="00EE1BF0" w:rsidP="00D6718A">
      <w:pPr>
        <w:rPr>
          <w:rFonts w:ascii="Arial" w:hAnsi="Arial" w:cs="Arial"/>
          <w:b/>
          <w:bCs/>
          <w:sz w:val="22"/>
          <w:szCs w:val="22"/>
        </w:rPr>
      </w:pPr>
    </w:p>
    <w:bookmarkEnd w:id="0"/>
    <w:p w14:paraId="711EAC23" w14:textId="77777777" w:rsidR="005A2E11" w:rsidRDefault="005A2E11" w:rsidP="00D6718A">
      <w:pPr>
        <w:rPr>
          <w:rFonts w:ascii="Arial" w:hAnsi="Arial" w:cs="Arial"/>
          <w:b/>
          <w:smallCaps/>
        </w:rPr>
      </w:pPr>
    </w:p>
    <w:p w14:paraId="5CFB7BDE" w14:textId="345662F2" w:rsidR="00D6718A" w:rsidRDefault="00D6718A" w:rsidP="00D6718A">
      <w:pPr>
        <w:rPr>
          <w:rFonts w:ascii="Arial" w:hAnsi="Arial" w:cs="Arial"/>
          <w:b/>
          <w:smallCaps/>
        </w:rPr>
      </w:pPr>
      <w:r>
        <w:rPr>
          <w:rFonts w:ascii="Arial" w:hAnsi="Arial" w:cs="Arial"/>
          <w:b/>
          <w:smallCaps/>
        </w:rPr>
        <w:t xml:space="preserve">COURSE COMMUNICATION </w:t>
      </w:r>
    </w:p>
    <w:p w14:paraId="72FD5F7F" w14:textId="77777777" w:rsidR="0090417E" w:rsidRPr="00994D23" w:rsidRDefault="0090417E" w:rsidP="0090417E">
      <w:pPr>
        <w:rPr>
          <w:rFonts w:ascii="Arial" w:hAnsi="Arial" w:cs="Arial"/>
          <w:b/>
          <w:sz w:val="22"/>
          <w:szCs w:val="22"/>
        </w:rPr>
      </w:pPr>
    </w:p>
    <w:p w14:paraId="428F7858" w14:textId="0EABC3C8" w:rsidR="00445ED5" w:rsidRPr="00CA47F9" w:rsidRDefault="00445ED5" w:rsidP="00445ED5">
      <w:pPr>
        <w:autoSpaceDE w:val="0"/>
        <w:autoSpaceDN w:val="0"/>
        <w:adjustRightInd w:val="0"/>
        <w:jc w:val="both"/>
        <w:rPr>
          <w:rFonts w:ascii="Arial" w:hAnsi="Arial" w:cs="Arial"/>
          <w:lang w:val="en-US"/>
        </w:rPr>
      </w:pPr>
      <w:r w:rsidRPr="00CA47F9">
        <w:rPr>
          <w:rFonts w:ascii="Arial" w:hAnsi="Arial" w:cs="Arial"/>
          <w:lang w:val="en-US"/>
        </w:rPr>
        <w:t xml:space="preserve">Lecture slides, </w:t>
      </w:r>
      <w:r w:rsidR="00AC24F3">
        <w:rPr>
          <w:rFonts w:ascii="Arial" w:hAnsi="Arial" w:cs="Arial"/>
          <w:lang w:val="en-US"/>
        </w:rPr>
        <w:t xml:space="preserve">tutorial solutions, </w:t>
      </w:r>
      <w:r w:rsidRPr="00CA47F9">
        <w:rPr>
          <w:rFonts w:ascii="Arial" w:hAnsi="Arial" w:cs="Arial"/>
          <w:lang w:val="en-US"/>
        </w:rPr>
        <w:t>relevant journal articles, ass</w:t>
      </w:r>
      <w:r w:rsidR="00AC24F3">
        <w:rPr>
          <w:rFonts w:ascii="Arial" w:hAnsi="Arial" w:cs="Arial"/>
          <w:lang w:val="en-US"/>
        </w:rPr>
        <w:t>essment</w:t>
      </w:r>
      <w:r w:rsidRPr="00CA47F9">
        <w:rPr>
          <w:rFonts w:ascii="Arial" w:hAnsi="Arial" w:cs="Arial"/>
          <w:lang w:val="en-US"/>
        </w:rPr>
        <w:t xml:space="preserve"> descriptions, announcements and term results will be posted on Blackboard.</w:t>
      </w:r>
    </w:p>
    <w:p w14:paraId="1508A974" w14:textId="77777777" w:rsidR="00445ED5" w:rsidRPr="00994D23" w:rsidRDefault="00445ED5" w:rsidP="00445ED5">
      <w:pPr>
        <w:rPr>
          <w:rFonts w:ascii="Arial" w:hAnsi="Arial" w:cs="Arial"/>
          <w:b/>
          <w:sz w:val="22"/>
          <w:szCs w:val="22"/>
        </w:rPr>
      </w:pPr>
    </w:p>
    <w:p w14:paraId="085986AF" w14:textId="77777777" w:rsidR="00445ED5" w:rsidRPr="00CA47F9" w:rsidRDefault="00445ED5" w:rsidP="00445ED5">
      <w:pPr>
        <w:rPr>
          <w:rFonts w:ascii="Arial" w:hAnsi="Arial" w:cs="Arial"/>
        </w:rPr>
      </w:pPr>
      <w:r w:rsidRPr="00CA47F9">
        <w:rPr>
          <w:rFonts w:ascii="Arial" w:hAnsi="Arial" w:cs="Arial"/>
        </w:rPr>
        <w:t xml:space="preserve">Please note that all course related email communication </w:t>
      </w:r>
      <w:r w:rsidRPr="00CA47F9">
        <w:rPr>
          <w:rFonts w:ascii="Arial" w:hAnsi="Arial" w:cs="Arial"/>
          <w:u w:val="single"/>
        </w:rPr>
        <w:t>must</w:t>
      </w:r>
      <w:r w:rsidRPr="00CA47F9">
        <w:rPr>
          <w:rFonts w:ascii="Arial" w:hAnsi="Arial" w:cs="Arial"/>
        </w:rPr>
        <w:t xml:space="preserve"> be sent from your official TCD email address. Emails sent from other addresses will not be attended to.</w:t>
      </w:r>
    </w:p>
    <w:p w14:paraId="53DF796F" w14:textId="77777777" w:rsidR="00445ED5" w:rsidRDefault="00445ED5" w:rsidP="0090417E">
      <w:pPr>
        <w:rPr>
          <w:rFonts w:ascii="Arial" w:hAnsi="Arial" w:cs="Arial"/>
          <w:b/>
          <w:i/>
          <w:sz w:val="22"/>
          <w:szCs w:val="22"/>
        </w:rPr>
      </w:pPr>
    </w:p>
    <w:p w14:paraId="44A819CC" w14:textId="77777777" w:rsidR="00D6718A" w:rsidRDefault="00D6718A" w:rsidP="00D6718A">
      <w:pPr>
        <w:rPr>
          <w:rFonts w:ascii="Arial" w:hAnsi="Arial" w:cs="Arial"/>
          <w:i/>
        </w:rPr>
      </w:pPr>
    </w:p>
    <w:p w14:paraId="7FF278A1" w14:textId="77777777" w:rsidR="00D6718A" w:rsidRDefault="00D6718A" w:rsidP="00D6718A">
      <w:pPr>
        <w:pStyle w:val="BodyText2"/>
        <w:jc w:val="both"/>
        <w:rPr>
          <w:rFonts w:ascii="Arial" w:hAnsi="Arial" w:cs="Arial"/>
          <w:b/>
          <w:i w:val="0"/>
          <w:iCs w:val="0"/>
          <w:sz w:val="24"/>
        </w:rPr>
      </w:pPr>
      <w:r>
        <w:rPr>
          <w:rFonts w:ascii="Arial" w:hAnsi="Arial" w:cs="Arial"/>
          <w:b/>
          <w:i w:val="0"/>
          <w:iCs w:val="0"/>
          <w:sz w:val="24"/>
        </w:rPr>
        <w:t>ASSESSMENT</w:t>
      </w:r>
    </w:p>
    <w:p w14:paraId="2A21B9B2" w14:textId="77777777" w:rsidR="0090417E" w:rsidRPr="00EE1BF0" w:rsidRDefault="0090417E" w:rsidP="0090417E">
      <w:pPr>
        <w:tabs>
          <w:tab w:val="num" w:pos="993"/>
        </w:tabs>
        <w:rPr>
          <w:rFonts w:ascii="Arial" w:hAnsi="Arial" w:cs="Arial"/>
          <w:b/>
        </w:rPr>
      </w:pPr>
    </w:p>
    <w:p w14:paraId="53AF2B66" w14:textId="77777777" w:rsidR="005D26F4" w:rsidRPr="005D26F4" w:rsidRDefault="005D26F4" w:rsidP="005D26F4">
      <w:pPr>
        <w:jc w:val="both"/>
        <w:rPr>
          <w:rFonts w:ascii="Arial" w:hAnsi="Arial" w:cs="Arial"/>
        </w:rPr>
      </w:pPr>
      <w:r w:rsidRPr="005D26F4">
        <w:rPr>
          <w:rFonts w:ascii="Arial" w:hAnsi="Arial" w:cs="Arial"/>
        </w:rPr>
        <w:t>Assessment for this course will be as follows:</w:t>
      </w:r>
    </w:p>
    <w:p w14:paraId="0220CB0A" w14:textId="77777777" w:rsidR="005D26F4" w:rsidRPr="005D26F4" w:rsidRDefault="005D26F4" w:rsidP="005D26F4">
      <w:pPr>
        <w:jc w:val="both"/>
        <w:rPr>
          <w:rFonts w:ascii="Arial" w:hAnsi="Arial" w:cs="Arial"/>
        </w:rPr>
      </w:pPr>
    </w:p>
    <w:p w14:paraId="3F19F016" w14:textId="11C939A2" w:rsidR="005D26F4" w:rsidRPr="005D26F4" w:rsidRDefault="005D26F4" w:rsidP="005D26F4">
      <w:pPr>
        <w:numPr>
          <w:ilvl w:val="0"/>
          <w:numId w:val="26"/>
        </w:numPr>
        <w:jc w:val="both"/>
        <w:rPr>
          <w:rFonts w:ascii="Arial" w:hAnsi="Arial" w:cs="Arial"/>
        </w:rPr>
      </w:pPr>
      <w:r w:rsidRPr="005D26F4">
        <w:rPr>
          <w:rFonts w:ascii="Arial" w:hAnsi="Arial" w:cs="Arial"/>
        </w:rPr>
        <w:t>Derivatives Mid-</w:t>
      </w:r>
      <w:r w:rsidR="000C12A1">
        <w:rPr>
          <w:rFonts w:ascii="Arial" w:hAnsi="Arial" w:cs="Arial"/>
        </w:rPr>
        <w:t>Semester</w:t>
      </w:r>
      <w:r w:rsidRPr="005D26F4">
        <w:rPr>
          <w:rFonts w:ascii="Arial" w:hAnsi="Arial" w:cs="Arial"/>
        </w:rPr>
        <w:t xml:space="preserve"> Examination (Individual) – 20%</w:t>
      </w:r>
    </w:p>
    <w:p w14:paraId="16693CD1" w14:textId="77777777" w:rsidR="005D26F4" w:rsidRPr="005D26F4" w:rsidRDefault="005D26F4" w:rsidP="005D26F4">
      <w:pPr>
        <w:ind w:left="720"/>
        <w:jc w:val="both"/>
        <w:rPr>
          <w:rFonts w:ascii="Arial" w:hAnsi="Arial" w:cs="Arial"/>
        </w:rPr>
      </w:pPr>
    </w:p>
    <w:p w14:paraId="5E4ED8F8" w14:textId="5C883853" w:rsidR="005D26F4" w:rsidRDefault="005D26F4" w:rsidP="005D26F4">
      <w:pPr>
        <w:numPr>
          <w:ilvl w:val="0"/>
          <w:numId w:val="26"/>
        </w:numPr>
        <w:jc w:val="both"/>
        <w:rPr>
          <w:rFonts w:ascii="Arial" w:hAnsi="Arial" w:cs="Arial"/>
        </w:rPr>
      </w:pPr>
      <w:r w:rsidRPr="005D26F4">
        <w:rPr>
          <w:rFonts w:ascii="Arial" w:hAnsi="Arial" w:cs="Arial"/>
        </w:rPr>
        <w:t>Final Examination (Individual) – 80%</w:t>
      </w:r>
    </w:p>
    <w:p w14:paraId="70E5B29F" w14:textId="3702823C" w:rsidR="005D26F4" w:rsidRDefault="005D26F4" w:rsidP="005D26F4">
      <w:pPr>
        <w:jc w:val="both"/>
        <w:rPr>
          <w:rFonts w:ascii="Arial" w:hAnsi="Arial" w:cs="Arial"/>
        </w:rPr>
      </w:pPr>
    </w:p>
    <w:p w14:paraId="01AA52A2" w14:textId="77777777" w:rsidR="00E74CEF" w:rsidRDefault="00E74CEF" w:rsidP="00E74CEF">
      <w:pPr>
        <w:pStyle w:val="Default"/>
        <w:jc w:val="both"/>
        <w:rPr>
          <w:rFonts w:ascii="Arial" w:hAnsi="Arial" w:cs="Arial"/>
          <w:b/>
          <w:bCs/>
          <w:sz w:val="22"/>
          <w:szCs w:val="22"/>
          <w:lang w:val="en-IE"/>
        </w:rPr>
      </w:pPr>
      <w:r>
        <w:rPr>
          <w:rFonts w:ascii="Arial" w:hAnsi="Arial" w:cs="Arial"/>
          <w:b/>
          <w:bCs/>
          <w:sz w:val="22"/>
          <w:szCs w:val="22"/>
          <w:lang w:val="en-IE"/>
        </w:rPr>
        <w:lastRenderedPageBreak/>
        <w:t>Note on assessment of students allowed to sit a supplemental exam</w:t>
      </w:r>
    </w:p>
    <w:p w14:paraId="4CCFBEF4" w14:textId="62286410" w:rsidR="005D26F4" w:rsidRPr="00A06CD1" w:rsidRDefault="00E74CEF" w:rsidP="00A06CD1">
      <w:pPr>
        <w:pStyle w:val="NormalWeb"/>
        <w:jc w:val="both"/>
        <w:rPr>
          <w:rFonts w:ascii="Arial" w:hAnsi="Arial" w:cs="Arial"/>
          <w:bCs/>
          <w:sz w:val="22"/>
          <w:szCs w:val="22"/>
        </w:rPr>
      </w:pPr>
      <w:r w:rsidRPr="00791833">
        <w:rPr>
          <w:rFonts w:ascii="Arial" w:hAnsi="Arial" w:cs="Arial"/>
        </w:rPr>
        <w:t>Students who fail this</w:t>
      </w:r>
      <w:r>
        <w:rPr>
          <w:rFonts w:ascii="Arial" w:hAnsi="Arial" w:cs="Arial"/>
        </w:rPr>
        <w:t xml:space="preserve"> module must sit a supplemental examination. The supplemental</w:t>
      </w:r>
      <w:r w:rsidRPr="00791833">
        <w:rPr>
          <w:rFonts w:ascii="Arial" w:hAnsi="Arial" w:cs="Arial"/>
        </w:rPr>
        <w:t xml:space="preserve"> exam</w:t>
      </w:r>
      <w:r>
        <w:rPr>
          <w:rFonts w:ascii="Arial" w:hAnsi="Arial" w:cs="Arial"/>
        </w:rPr>
        <w:t>ination</w:t>
      </w:r>
      <w:r w:rsidRPr="00791833">
        <w:rPr>
          <w:rFonts w:ascii="Arial" w:hAnsi="Arial" w:cs="Arial"/>
        </w:rPr>
        <w:t xml:space="preserve"> results will account for 100% of the final mark</w:t>
      </w:r>
      <w:r>
        <w:rPr>
          <w:rFonts w:ascii="Arial" w:hAnsi="Arial" w:cs="Arial"/>
        </w:rPr>
        <w:t xml:space="preserve"> for this module</w:t>
      </w:r>
      <w:r w:rsidRPr="00791833">
        <w:rPr>
          <w:rFonts w:ascii="Arial" w:hAnsi="Arial" w:cs="Arial"/>
        </w:rPr>
        <w:t xml:space="preserve">. </w:t>
      </w:r>
    </w:p>
    <w:p w14:paraId="52F0C8B3" w14:textId="77777777" w:rsidR="005D26F4" w:rsidRDefault="005D26F4" w:rsidP="00EE1BF0">
      <w:pPr>
        <w:jc w:val="both"/>
        <w:rPr>
          <w:rFonts w:ascii="Arial" w:hAnsi="Arial" w:cs="Arial"/>
        </w:rPr>
      </w:pPr>
    </w:p>
    <w:p w14:paraId="08DCB1B7" w14:textId="77777777" w:rsidR="00D6718A" w:rsidRDefault="00D6718A" w:rsidP="00D6718A">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t>MODULE SCHEDULE</w:t>
      </w:r>
    </w:p>
    <w:p w14:paraId="5EB4D74C" w14:textId="77777777" w:rsidR="00D6718A" w:rsidRDefault="00D6718A" w:rsidP="00D6718A">
      <w:pPr>
        <w:pStyle w:val="BodyText2"/>
        <w:jc w:val="both"/>
        <w:rPr>
          <w:rFonts w:ascii="Arial" w:hAnsi="Arial" w:cs="Arial"/>
          <w:i w:val="0"/>
          <w:sz w:val="22"/>
          <w:szCs w:val="22"/>
          <w:u w:val="single"/>
        </w:rPr>
      </w:pPr>
    </w:p>
    <w:p w14:paraId="5AB469FB" w14:textId="77777777" w:rsidR="00D6718A" w:rsidRDefault="00D6718A" w:rsidP="00D6718A">
      <w:pPr>
        <w:pStyle w:val="BodyText2"/>
        <w:jc w:val="both"/>
        <w:rPr>
          <w:rFonts w:ascii="Arial" w:hAnsi="Arial" w:cs="Arial"/>
          <w:i w:val="0"/>
          <w:iCs w:val="0"/>
          <w:sz w:val="24"/>
        </w:rPr>
      </w:pPr>
    </w:p>
    <w:tbl>
      <w:tblPr>
        <w:tblStyle w:val="TableGridLight"/>
        <w:tblW w:w="9634" w:type="dxa"/>
        <w:tblLayout w:type="fixed"/>
        <w:tblLook w:val="06E0" w:firstRow="1" w:lastRow="1" w:firstColumn="1" w:lastColumn="0" w:noHBand="1" w:noVBand="1"/>
      </w:tblPr>
      <w:tblGrid>
        <w:gridCol w:w="1102"/>
        <w:gridCol w:w="2012"/>
        <w:gridCol w:w="6520"/>
      </w:tblGrid>
      <w:tr w:rsidR="00D6718A" w14:paraId="2803BF9F" w14:textId="77777777" w:rsidTr="00416AA3">
        <w:tc>
          <w:tcPr>
            <w:tcW w:w="1102" w:type="dxa"/>
            <w:hideMark/>
          </w:tcPr>
          <w:p w14:paraId="4F571D4B" w14:textId="55670CCF" w:rsidR="00D6718A" w:rsidRDefault="00F43A3B">
            <w:pPr>
              <w:pStyle w:val="Heading5"/>
              <w:jc w:val="center"/>
              <w:rPr>
                <w:rFonts w:ascii="Arial" w:hAnsi="Arial" w:cs="Arial"/>
                <w:b/>
                <w:i w:val="0"/>
                <w:sz w:val="20"/>
                <w:lang w:eastAsia="en-IE"/>
              </w:rPr>
            </w:pPr>
            <w:r>
              <w:rPr>
                <w:rFonts w:ascii="Arial" w:hAnsi="Arial" w:cs="Arial"/>
                <w:b/>
                <w:i w:val="0"/>
                <w:sz w:val="20"/>
                <w:lang w:eastAsia="en-IE"/>
              </w:rPr>
              <w:t>Week</w:t>
            </w:r>
          </w:p>
        </w:tc>
        <w:tc>
          <w:tcPr>
            <w:tcW w:w="2012" w:type="dxa"/>
            <w:hideMark/>
          </w:tcPr>
          <w:p w14:paraId="5C0BA5EE" w14:textId="77777777" w:rsidR="00D6718A" w:rsidRDefault="00D6718A">
            <w:pPr>
              <w:pStyle w:val="Heading5"/>
              <w:jc w:val="center"/>
              <w:rPr>
                <w:rFonts w:ascii="Arial" w:hAnsi="Arial" w:cs="Arial"/>
                <w:b/>
                <w:i w:val="0"/>
                <w:sz w:val="20"/>
                <w:lang w:eastAsia="en-IE"/>
              </w:rPr>
            </w:pPr>
            <w:r>
              <w:rPr>
                <w:rFonts w:ascii="Arial" w:hAnsi="Arial" w:cs="Arial"/>
                <w:b/>
                <w:i w:val="0"/>
                <w:sz w:val="20"/>
                <w:lang w:eastAsia="en-IE"/>
              </w:rPr>
              <w:t>Date &amp; Venue</w:t>
            </w:r>
          </w:p>
        </w:tc>
        <w:tc>
          <w:tcPr>
            <w:tcW w:w="6520" w:type="dxa"/>
            <w:hideMark/>
          </w:tcPr>
          <w:p w14:paraId="45E97394" w14:textId="77777777" w:rsidR="00D6718A" w:rsidRDefault="00D6718A">
            <w:pPr>
              <w:pStyle w:val="Heading2"/>
              <w:rPr>
                <w:rFonts w:ascii="Arial" w:hAnsi="Arial" w:cs="Arial"/>
                <w:lang w:eastAsia="en-IE"/>
              </w:rPr>
            </w:pPr>
            <w:r>
              <w:rPr>
                <w:rFonts w:ascii="Arial" w:hAnsi="Arial" w:cs="Arial"/>
                <w:lang w:eastAsia="en-IE"/>
              </w:rPr>
              <w:t>Lecture &amp; readings</w:t>
            </w:r>
          </w:p>
        </w:tc>
      </w:tr>
      <w:tr w:rsidR="00687557" w14:paraId="4EC81671" w14:textId="77777777" w:rsidTr="00416AA3">
        <w:trPr>
          <w:trHeight w:val="869"/>
        </w:trPr>
        <w:tc>
          <w:tcPr>
            <w:tcW w:w="1102" w:type="dxa"/>
          </w:tcPr>
          <w:p w14:paraId="3AB5734B" w14:textId="77777777" w:rsidR="00687557" w:rsidRPr="002050FD" w:rsidRDefault="00687557" w:rsidP="00687557">
            <w:pPr>
              <w:jc w:val="center"/>
              <w:rPr>
                <w:rFonts w:ascii="Arial" w:hAnsi="Arial" w:cs="Arial"/>
                <w:lang w:eastAsia="en-IE"/>
              </w:rPr>
            </w:pPr>
          </w:p>
          <w:p w14:paraId="32DAFBD9" w14:textId="457E1A95" w:rsidR="00687557" w:rsidRPr="002050FD" w:rsidRDefault="00687557" w:rsidP="00687557">
            <w:pPr>
              <w:jc w:val="center"/>
              <w:rPr>
                <w:rFonts w:ascii="Arial" w:hAnsi="Arial" w:cs="Arial"/>
                <w:lang w:eastAsia="en-IE"/>
              </w:rPr>
            </w:pPr>
            <w:r w:rsidRPr="002050FD">
              <w:rPr>
                <w:rFonts w:ascii="Arial" w:hAnsi="Arial" w:cs="Arial"/>
                <w:lang w:eastAsia="en-IE"/>
              </w:rPr>
              <w:t>1</w:t>
            </w:r>
          </w:p>
        </w:tc>
        <w:tc>
          <w:tcPr>
            <w:tcW w:w="2012" w:type="dxa"/>
          </w:tcPr>
          <w:p w14:paraId="797E328A" w14:textId="77777777" w:rsidR="00687557" w:rsidRDefault="00687557" w:rsidP="00687557">
            <w:pPr>
              <w:rPr>
                <w:rFonts w:ascii="Arial" w:hAnsi="Arial" w:cs="Arial"/>
                <w:lang w:eastAsia="en-IE"/>
              </w:rPr>
            </w:pPr>
          </w:p>
          <w:p w14:paraId="15FC7971" w14:textId="5709B197" w:rsidR="00687557" w:rsidRPr="002050FD" w:rsidRDefault="000C12A1" w:rsidP="00687557">
            <w:pPr>
              <w:rPr>
                <w:rFonts w:ascii="Arial" w:hAnsi="Arial" w:cs="Arial"/>
                <w:lang w:eastAsia="en-IE"/>
              </w:rPr>
            </w:pPr>
            <w:r>
              <w:rPr>
                <w:rFonts w:ascii="Arial" w:hAnsi="Arial" w:cs="Arial"/>
                <w:lang w:eastAsia="en-IE"/>
              </w:rPr>
              <w:t>TBC</w:t>
            </w:r>
          </w:p>
        </w:tc>
        <w:tc>
          <w:tcPr>
            <w:tcW w:w="6520" w:type="dxa"/>
          </w:tcPr>
          <w:p w14:paraId="13DE40E7" w14:textId="77777777" w:rsidR="00687557" w:rsidRDefault="00687557" w:rsidP="00687557">
            <w:pPr>
              <w:jc w:val="both"/>
              <w:rPr>
                <w:rFonts w:ascii="Arial" w:hAnsi="Arial" w:cs="Arial"/>
              </w:rPr>
            </w:pPr>
          </w:p>
          <w:p w14:paraId="11CBB414" w14:textId="55D7137D" w:rsidR="00687557" w:rsidRPr="002050FD" w:rsidRDefault="00687557" w:rsidP="00687557">
            <w:pPr>
              <w:jc w:val="both"/>
              <w:rPr>
                <w:rFonts w:ascii="Arial" w:hAnsi="Arial" w:cs="Arial"/>
              </w:rPr>
            </w:pPr>
            <w:r w:rsidRPr="002050FD">
              <w:rPr>
                <w:rFonts w:ascii="Arial" w:hAnsi="Arial" w:cs="Arial"/>
              </w:rPr>
              <w:t xml:space="preserve">Topic 1: Introduction – Hull, Chapter </w:t>
            </w:r>
            <w:r>
              <w:rPr>
                <w:rFonts w:ascii="Arial" w:hAnsi="Arial" w:cs="Arial"/>
              </w:rPr>
              <w:t>1</w:t>
            </w:r>
          </w:p>
        </w:tc>
      </w:tr>
      <w:tr w:rsidR="00687557" w14:paraId="5F14D435" w14:textId="77777777" w:rsidTr="00416AA3">
        <w:trPr>
          <w:trHeight w:val="770"/>
        </w:trPr>
        <w:tc>
          <w:tcPr>
            <w:tcW w:w="1102" w:type="dxa"/>
          </w:tcPr>
          <w:p w14:paraId="2C18DE2E" w14:textId="77777777" w:rsidR="00687557" w:rsidRPr="002050FD" w:rsidRDefault="00687557" w:rsidP="00687557">
            <w:pPr>
              <w:jc w:val="center"/>
              <w:rPr>
                <w:rFonts w:ascii="Arial" w:hAnsi="Arial" w:cs="Arial"/>
                <w:lang w:eastAsia="en-IE"/>
              </w:rPr>
            </w:pPr>
          </w:p>
          <w:p w14:paraId="2CFFA1BB" w14:textId="1941508A" w:rsidR="00687557" w:rsidRPr="002050FD" w:rsidRDefault="00687557" w:rsidP="00687557">
            <w:pPr>
              <w:jc w:val="center"/>
              <w:rPr>
                <w:rFonts w:ascii="Arial" w:hAnsi="Arial" w:cs="Arial"/>
                <w:lang w:eastAsia="en-IE"/>
              </w:rPr>
            </w:pPr>
            <w:r w:rsidRPr="002050FD">
              <w:rPr>
                <w:rFonts w:ascii="Arial" w:hAnsi="Arial" w:cs="Arial"/>
                <w:lang w:eastAsia="en-IE"/>
              </w:rPr>
              <w:t>2</w:t>
            </w:r>
          </w:p>
          <w:p w14:paraId="6D11C936" w14:textId="5E097CA5" w:rsidR="00687557" w:rsidRPr="002050FD" w:rsidRDefault="00687557" w:rsidP="00687557">
            <w:pPr>
              <w:jc w:val="center"/>
              <w:rPr>
                <w:rFonts w:ascii="Arial" w:hAnsi="Arial" w:cs="Arial"/>
                <w:lang w:eastAsia="en-IE"/>
              </w:rPr>
            </w:pPr>
          </w:p>
        </w:tc>
        <w:tc>
          <w:tcPr>
            <w:tcW w:w="2012" w:type="dxa"/>
          </w:tcPr>
          <w:p w14:paraId="07C742FB" w14:textId="77777777" w:rsidR="00687557" w:rsidRDefault="00687557" w:rsidP="00687557">
            <w:pPr>
              <w:jc w:val="center"/>
              <w:rPr>
                <w:rFonts w:ascii="Arial" w:hAnsi="Arial" w:cs="Arial"/>
                <w:lang w:eastAsia="en-IE"/>
              </w:rPr>
            </w:pPr>
          </w:p>
          <w:p w14:paraId="5E61067D" w14:textId="3361D649" w:rsidR="00687557" w:rsidRPr="002050FD" w:rsidRDefault="00C61420" w:rsidP="00687557">
            <w:pPr>
              <w:rPr>
                <w:rFonts w:ascii="Arial" w:hAnsi="Arial" w:cs="Arial"/>
                <w:lang w:eastAsia="en-IE"/>
              </w:rPr>
            </w:pPr>
            <w:r>
              <w:rPr>
                <w:rFonts w:ascii="Arial" w:hAnsi="Arial" w:cs="Arial"/>
                <w:lang w:eastAsia="en-IE"/>
              </w:rPr>
              <w:t>TBC</w:t>
            </w:r>
          </w:p>
        </w:tc>
        <w:tc>
          <w:tcPr>
            <w:tcW w:w="6520" w:type="dxa"/>
          </w:tcPr>
          <w:p w14:paraId="106DE5AD" w14:textId="77777777" w:rsidR="00687557" w:rsidRDefault="00687557" w:rsidP="00687557">
            <w:pPr>
              <w:rPr>
                <w:rFonts w:ascii="Arial" w:hAnsi="Arial" w:cs="Arial"/>
                <w:lang w:eastAsia="en-IE"/>
              </w:rPr>
            </w:pPr>
          </w:p>
          <w:p w14:paraId="11B9FEF9" w14:textId="1FF52105" w:rsidR="00687557" w:rsidRPr="002050FD" w:rsidRDefault="00687557" w:rsidP="00687557">
            <w:pPr>
              <w:rPr>
                <w:rFonts w:ascii="Arial" w:hAnsi="Arial" w:cs="Arial"/>
                <w:lang w:eastAsia="en-IE"/>
              </w:rPr>
            </w:pPr>
            <w:r w:rsidRPr="002050FD">
              <w:rPr>
                <w:rFonts w:ascii="Arial" w:hAnsi="Arial" w:cs="Arial"/>
                <w:lang w:eastAsia="en-IE"/>
              </w:rPr>
              <w:t xml:space="preserve">Topic 2: Forwards and Futures </w:t>
            </w:r>
            <w:r w:rsidRPr="002050FD">
              <w:rPr>
                <w:rFonts w:ascii="Arial" w:hAnsi="Arial" w:cs="Arial"/>
              </w:rPr>
              <w:t>– Hull, Chapter 2, 3</w:t>
            </w:r>
          </w:p>
          <w:p w14:paraId="4B42DC93" w14:textId="781ACEED" w:rsidR="00687557" w:rsidRPr="002050FD" w:rsidRDefault="00687557" w:rsidP="00687557">
            <w:pPr>
              <w:pStyle w:val="ListParagraph"/>
              <w:ind w:left="0"/>
              <w:rPr>
                <w:rFonts w:ascii="Arial" w:hAnsi="Arial" w:cs="Arial"/>
                <w:lang w:eastAsia="en-IE"/>
              </w:rPr>
            </w:pPr>
          </w:p>
        </w:tc>
      </w:tr>
      <w:tr w:rsidR="00687557" w14:paraId="1E120DA2" w14:textId="77777777" w:rsidTr="00416AA3">
        <w:tc>
          <w:tcPr>
            <w:tcW w:w="1102" w:type="dxa"/>
            <w:hideMark/>
          </w:tcPr>
          <w:p w14:paraId="34DE6A10" w14:textId="77777777" w:rsidR="00687557" w:rsidRPr="002050FD" w:rsidRDefault="00687557" w:rsidP="00687557">
            <w:pPr>
              <w:jc w:val="center"/>
              <w:rPr>
                <w:rFonts w:ascii="Arial" w:hAnsi="Arial" w:cs="Arial"/>
                <w:lang w:eastAsia="en-IE"/>
              </w:rPr>
            </w:pPr>
          </w:p>
          <w:p w14:paraId="259FA6CB" w14:textId="47617BCB" w:rsidR="00687557" w:rsidRDefault="00687557" w:rsidP="00687557">
            <w:pPr>
              <w:jc w:val="center"/>
              <w:rPr>
                <w:rFonts w:ascii="Arial" w:hAnsi="Arial" w:cs="Arial"/>
                <w:lang w:eastAsia="en-IE"/>
              </w:rPr>
            </w:pPr>
            <w:r w:rsidRPr="002050FD">
              <w:rPr>
                <w:rFonts w:ascii="Arial" w:hAnsi="Arial" w:cs="Arial"/>
                <w:lang w:eastAsia="en-IE"/>
              </w:rPr>
              <w:t>3</w:t>
            </w:r>
          </w:p>
          <w:p w14:paraId="01D6ED52" w14:textId="77777777" w:rsidR="00687557" w:rsidRPr="002050FD" w:rsidRDefault="00687557" w:rsidP="00687557">
            <w:pPr>
              <w:jc w:val="center"/>
              <w:rPr>
                <w:rFonts w:ascii="Arial" w:hAnsi="Arial" w:cs="Arial"/>
                <w:lang w:eastAsia="en-IE"/>
              </w:rPr>
            </w:pPr>
          </w:p>
          <w:p w14:paraId="3D1DE92B" w14:textId="7BAC8CBA" w:rsidR="00687557" w:rsidRPr="002050FD" w:rsidRDefault="00687557" w:rsidP="00687557">
            <w:pPr>
              <w:jc w:val="center"/>
              <w:rPr>
                <w:rFonts w:ascii="Arial" w:hAnsi="Arial" w:cs="Arial"/>
                <w:lang w:eastAsia="en-IE"/>
              </w:rPr>
            </w:pPr>
          </w:p>
        </w:tc>
        <w:tc>
          <w:tcPr>
            <w:tcW w:w="2012" w:type="dxa"/>
          </w:tcPr>
          <w:p w14:paraId="447D4635" w14:textId="77777777" w:rsidR="00687557" w:rsidRDefault="00687557" w:rsidP="00687557">
            <w:pPr>
              <w:jc w:val="center"/>
              <w:rPr>
                <w:rFonts w:ascii="Arial" w:hAnsi="Arial" w:cs="Arial"/>
                <w:lang w:eastAsia="en-IE"/>
              </w:rPr>
            </w:pPr>
          </w:p>
          <w:p w14:paraId="3F86F063" w14:textId="2400EE11" w:rsidR="00687557" w:rsidRPr="002050FD" w:rsidRDefault="00C61420" w:rsidP="00687557">
            <w:pPr>
              <w:rPr>
                <w:rFonts w:ascii="Arial" w:hAnsi="Arial" w:cs="Arial"/>
                <w:lang w:eastAsia="en-IE"/>
              </w:rPr>
            </w:pPr>
            <w:r>
              <w:rPr>
                <w:rFonts w:ascii="Arial" w:hAnsi="Arial" w:cs="Arial"/>
                <w:lang w:eastAsia="en-IE"/>
              </w:rPr>
              <w:t>TBC</w:t>
            </w:r>
          </w:p>
        </w:tc>
        <w:tc>
          <w:tcPr>
            <w:tcW w:w="6520" w:type="dxa"/>
          </w:tcPr>
          <w:p w14:paraId="05438CC9" w14:textId="77777777" w:rsidR="00687557" w:rsidRDefault="00687557" w:rsidP="00687557">
            <w:pPr>
              <w:rPr>
                <w:rFonts w:ascii="Arial" w:hAnsi="Arial" w:cs="Arial"/>
                <w:lang w:eastAsia="en-IE"/>
              </w:rPr>
            </w:pPr>
          </w:p>
          <w:p w14:paraId="7AA9664B" w14:textId="2A36205A" w:rsidR="00687557" w:rsidRPr="002050FD" w:rsidRDefault="00687557" w:rsidP="00687557">
            <w:pPr>
              <w:rPr>
                <w:rFonts w:ascii="Arial" w:hAnsi="Arial" w:cs="Arial"/>
                <w:lang w:eastAsia="en-IE"/>
              </w:rPr>
            </w:pPr>
            <w:r w:rsidRPr="002050FD">
              <w:rPr>
                <w:rFonts w:ascii="Arial" w:hAnsi="Arial" w:cs="Arial"/>
                <w:lang w:eastAsia="en-IE"/>
              </w:rPr>
              <w:t xml:space="preserve">Topic 2: Forwards and Futures </w:t>
            </w:r>
            <w:r w:rsidRPr="002050FD">
              <w:rPr>
                <w:rFonts w:ascii="Arial" w:hAnsi="Arial" w:cs="Arial"/>
              </w:rPr>
              <w:t xml:space="preserve">– Hull, Chapter </w:t>
            </w:r>
            <w:r>
              <w:rPr>
                <w:rFonts w:ascii="Arial" w:hAnsi="Arial" w:cs="Arial"/>
              </w:rPr>
              <w:t>5, 6</w:t>
            </w:r>
          </w:p>
          <w:p w14:paraId="36C0D0AB" w14:textId="5364CE4D" w:rsidR="00687557" w:rsidRPr="002050FD" w:rsidRDefault="00687557" w:rsidP="00687557">
            <w:pPr>
              <w:rPr>
                <w:rFonts w:ascii="Arial" w:hAnsi="Arial" w:cs="Arial"/>
                <w:bCs/>
                <w:lang w:eastAsia="en-IE"/>
              </w:rPr>
            </w:pPr>
          </w:p>
        </w:tc>
      </w:tr>
      <w:tr w:rsidR="00687557" w14:paraId="7D99A39C" w14:textId="77777777" w:rsidTr="00416AA3">
        <w:tc>
          <w:tcPr>
            <w:tcW w:w="1102" w:type="dxa"/>
          </w:tcPr>
          <w:p w14:paraId="279937D2" w14:textId="77777777" w:rsidR="00687557" w:rsidRPr="002050FD" w:rsidRDefault="00687557" w:rsidP="00687557">
            <w:pPr>
              <w:jc w:val="center"/>
              <w:rPr>
                <w:rFonts w:ascii="Arial" w:hAnsi="Arial" w:cs="Arial"/>
                <w:lang w:eastAsia="en-IE"/>
              </w:rPr>
            </w:pPr>
          </w:p>
          <w:p w14:paraId="4B6FC5F9" w14:textId="43FC2571" w:rsidR="00687557" w:rsidRPr="002050FD" w:rsidRDefault="00687557" w:rsidP="00687557">
            <w:pPr>
              <w:jc w:val="center"/>
              <w:rPr>
                <w:rFonts w:ascii="Arial" w:hAnsi="Arial" w:cs="Arial"/>
                <w:lang w:eastAsia="en-IE"/>
              </w:rPr>
            </w:pPr>
            <w:r w:rsidRPr="002050FD">
              <w:rPr>
                <w:rFonts w:ascii="Arial" w:hAnsi="Arial" w:cs="Arial"/>
                <w:lang w:eastAsia="en-IE"/>
              </w:rPr>
              <w:t>4</w:t>
            </w:r>
          </w:p>
          <w:p w14:paraId="35A1CDB4" w14:textId="3BFF47BC" w:rsidR="00687557" w:rsidRPr="002050FD" w:rsidRDefault="00687557" w:rsidP="00687557">
            <w:pPr>
              <w:jc w:val="center"/>
              <w:rPr>
                <w:rFonts w:ascii="Arial" w:hAnsi="Arial" w:cs="Arial"/>
                <w:lang w:eastAsia="en-IE"/>
              </w:rPr>
            </w:pPr>
          </w:p>
        </w:tc>
        <w:tc>
          <w:tcPr>
            <w:tcW w:w="2012" w:type="dxa"/>
          </w:tcPr>
          <w:p w14:paraId="2E60584C" w14:textId="77777777" w:rsidR="00687557" w:rsidRDefault="00687557" w:rsidP="00687557">
            <w:pPr>
              <w:jc w:val="center"/>
              <w:rPr>
                <w:rFonts w:ascii="Arial" w:hAnsi="Arial" w:cs="Arial"/>
                <w:lang w:eastAsia="en-IE"/>
              </w:rPr>
            </w:pPr>
          </w:p>
          <w:p w14:paraId="1B5D41AB" w14:textId="2E88A86F" w:rsidR="00687557" w:rsidRPr="002050FD" w:rsidRDefault="00C61420" w:rsidP="00687557">
            <w:pPr>
              <w:rPr>
                <w:rFonts w:ascii="Arial" w:hAnsi="Arial" w:cs="Arial"/>
                <w:lang w:eastAsia="en-IE"/>
              </w:rPr>
            </w:pPr>
            <w:r>
              <w:rPr>
                <w:rFonts w:ascii="Arial" w:hAnsi="Arial" w:cs="Arial"/>
                <w:lang w:eastAsia="en-IE"/>
              </w:rPr>
              <w:t>TBC</w:t>
            </w:r>
          </w:p>
        </w:tc>
        <w:tc>
          <w:tcPr>
            <w:tcW w:w="6520" w:type="dxa"/>
          </w:tcPr>
          <w:p w14:paraId="0751AD7F" w14:textId="77777777" w:rsidR="00687557" w:rsidRDefault="00687557" w:rsidP="00687557">
            <w:pPr>
              <w:rPr>
                <w:rFonts w:ascii="Arial" w:hAnsi="Arial" w:cs="Arial"/>
                <w:lang w:eastAsia="en-IE"/>
              </w:rPr>
            </w:pPr>
          </w:p>
          <w:p w14:paraId="63ACF757" w14:textId="4B1C28E6" w:rsidR="00687557" w:rsidRPr="002050FD" w:rsidRDefault="00687557" w:rsidP="00687557">
            <w:pPr>
              <w:rPr>
                <w:rFonts w:ascii="Arial" w:hAnsi="Arial" w:cs="Arial"/>
                <w:lang w:eastAsia="en-IE"/>
              </w:rPr>
            </w:pPr>
            <w:r w:rsidRPr="002050FD">
              <w:rPr>
                <w:rFonts w:ascii="Arial" w:hAnsi="Arial" w:cs="Arial"/>
                <w:lang w:eastAsia="en-IE"/>
              </w:rPr>
              <w:t xml:space="preserve">Topic 3: Swaps </w:t>
            </w:r>
            <w:r w:rsidRPr="002050FD">
              <w:rPr>
                <w:rFonts w:ascii="Arial" w:hAnsi="Arial" w:cs="Arial"/>
              </w:rPr>
              <w:t>– Hull, Chapter 7</w:t>
            </w:r>
            <w:r>
              <w:rPr>
                <w:rFonts w:ascii="Arial" w:hAnsi="Arial" w:cs="Arial"/>
              </w:rPr>
              <w:t>, 8</w:t>
            </w:r>
          </w:p>
        </w:tc>
      </w:tr>
      <w:tr w:rsidR="00687557" w14:paraId="685EFE1E" w14:textId="77777777" w:rsidTr="00416AA3">
        <w:trPr>
          <w:trHeight w:val="734"/>
        </w:trPr>
        <w:tc>
          <w:tcPr>
            <w:tcW w:w="1102" w:type="dxa"/>
          </w:tcPr>
          <w:p w14:paraId="2727F6A6" w14:textId="77777777" w:rsidR="00687557" w:rsidRPr="002050FD" w:rsidRDefault="00687557" w:rsidP="00687557">
            <w:pPr>
              <w:jc w:val="center"/>
              <w:rPr>
                <w:rFonts w:ascii="Arial" w:hAnsi="Arial" w:cs="Arial"/>
                <w:lang w:eastAsia="en-IE"/>
              </w:rPr>
            </w:pPr>
          </w:p>
          <w:p w14:paraId="5605C74A" w14:textId="3B354787" w:rsidR="00687557" w:rsidRPr="002050FD" w:rsidRDefault="00687557" w:rsidP="00687557">
            <w:pPr>
              <w:jc w:val="center"/>
              <w:rPr>
                <w:rFonts w:ascii="Arial" w:hAnsi="Arial" w:cs="Arial"/>
                <w:lang w:eastAsia="en-IE"/>
              </w:rPr>
            </w:pPr>
            <w:r w:rsidRPr="002050FD">
              <w:rPr>
                <w:rFonts w:ascii="Arial" w:hAnsi="Arial" w:cs="Arial"/>
                <w:lang w:eastAsia="en-IE"/>
              </w:rPr>
              <w:t>5</w:t>
            </w:r>
          </w:p>
          <w:p w14:paraId="0A26A42B" w14:textId="432DFB12" w:rsidR="00687557" w:rsidRPr="002050FD" w:rsidRDefault="00687557" w:rsidP="00687557">
            <w:pPr>
              <w:rPr>
                <w:rFonts w:ascii="Arial" w:hAnsi="Arial" w:cs="Arial"/>
                <w:lang w:eastAsia="en-IE"/>
              </w:rPr>
            </w:pPr>
          </w:p>
        </w:tc>
        <w:tc>
          <w:tcPr>
            <w:tcW w:w="2012" w:type="dxa"/>
          </w:tcPr>
          <w:p w14:paraId="24984A89" w14:textId="77777777" w:rsidR="00687557" w:rsidRDefault="00687557" w:rsidP="00687557">
            <w:pPr>
              <w:rPr>
                <w:rFonts w:ascii="Arial" w:hAnsi="Arial" w:cs="Arial"/>
                <w:lang w:eastAsia="en-IE"/>
              </w:rPr>
            </w:pPr>
          </w:p>
          <w:p w14:paraId="0774A8EB" w14:textId="52D012A6" w:rsidR="00687557" w:rsidRPr="002050FD" w:rsidRDefault="00C61420" w:rsidP="00687557">
            <w:pPr>
              <w:rPr>
                <w:rFonts w:ascii="Arial" w:hAnsi="Arial" w:cs="Arial"/>
                <w:lang w:eastAsia="en-IE"/>
              </w:rPr>
            </w:pPr>
            <w:r>
              <w:rPr>
                <w:rFonts w:ascii="Arial" w:hAnsi="Arial" w:cs="Arial"/>
                <w:lang w:eastAsia="en-IE"/>
              </w:rPr>
              <w:t>TBC</w:t>
            </w:r>
          </w:p>
        </w:tc>
        <w:tc>
          <w:tcPr>
            <w:tcW w:w="6520" w:type="dxa"/>
          </w:tcPr>
          <w:p w14:paraId="4969C6AA" w14:textId="77777777" w:rsidR="00687557" w:rsidRDefault="00687557" w:rsidP="00687557">
            <w:pPr>
              <w:rPr>
                <w:rFonts w:ascii="Arial" w:hAnsi="Arial" w:cs="Arial"/>
                <w:bCs/>
                <w:lang w:eastAsia="en-IE"/>
              </w:rPr>
            </w:pPr>
          </w:p>
          <w:p w14:paraId="2180E1B1" w14:textId="2DEC9A33" w:rsidR="00687557" w:rsidRPr="002050FD" w:rsidRDefault="00687557" w:rsidP="00687557">
            <w:pPr>
              <w:rPr>
                <w:rFonts w:ascii="Arial" w:hAnsi="Arial" w:cs="Arial"/>
                <w:i/>
                <w:lang w:eastAsia="en-IE"/>
              </w:rPr>
            </w:pPr>
            <w:r w:rsidRPr="002050FD">
              <w:rPr>
                <w:rFonts w:ascii="Arial" w:hAnsi="Arial" w:cs="Arial"/>
                <w:bCs/>
                <w:lang w:eastAsia="en-IE"/>
              </w:rPr>
              <w:t xml:space="preserve">Topic 4: Options </w:t>
            </w:r>
            <w:r w:rsidRPr="002050FD">
              <w:rPr>
                <w:rFonts w:ascii="Arial" w:hAnsi="Arial" w:cs="Arial"/>
              </w:rPr>
              <w:t>– Hull, Chapter 9, 10</w:t>
            </w:r>
          </w:p>
        </w:tc>
      </w:tr>
      <w:tr w:rsidR="00687557" w14:paraId="3AE4198C" w14:textId="77777777" w:rsidTr="00416AA3">
        <w:trPr>
          <w:trHeight w:val="888"/>
        </w:trPr>
        <w:tc>
          <w:tcPr>
            <w:tcW w:w="1102" w:type="dxa"/>
          </w:tcPr>
          <w:p w14:paraId="4BC60DA6" w14:textId="77777777" w:rsidR="00687557" w:rsidRPr="002050FD" w:rsidRDefault="00687557" w:rsidP="00687557">
            <w:pPr>
              <w:jc w:val="center"/>
              <w:rPr>
                <w:rFonts w:ascii="Arial" w:hAnsi="Arial" w:cs="Arial"/>
                <w:lang w:eastAsia="en-IE"/>
              </w:rPr>
            </w:pPr>
          </w:p>
          <w:p w14:paraId="7BEC138E" w14:textId="0605D9F7" w:rsidR="00687557" w:rsidRPr="002050FD" w:rsidRDefault="00687557" w:rsidP="00687557">
            <w:pPr>
              <w:jc w:val="center"/>
              <w:rPr>
                <w:rFonts w:ascii="Arial" w:hAnsi="Arial" w:cs="Arial"/>
                <w:lang w:eastAsia="en-IE"/>
              </w:rPr>
            </w:pPr>
            <w:r w:rsidRPr="002050FD">
              <w:rPr>
                <w:rFonts w:ascii="Arial" w:hAnsi="Arial" w:cs="Arial"/>
                <w:lang w:eastAsia="en-IE"/>
              </w:rPr>
              <w:t>6</w:t>
            </w:r>
          </w:p>
          <w:p w14:paraId="5E28D856" w14:textId="08067CBD" w:rsidR="00687557" w:rsidRPr="002050FD" w:rsidRDefault="00687557" w:rsidP="00687557">
            <w:pPr>
              <w:jc w:val="center"/>
              <w:rPr>
                <w:rFonts w:ascii="Arial" w:hAnsi="Arial" w:cs="Arial"/>
                <w:lang w:eastAsia="en-IE"/>
              </w:rPr>
            </w:pPr>
          </w:p>
        </w:tc>
        <w:tc>
          <w:tcPr>
            <w:tcW w:w="2012" w:type="dxa"/>
          </w:tcPr>
          <w:p w14:paraId="196ED225" w14:textId="77777777" w:rsidR="00687557" w:rsidRDefault="00687557" w:rsidP="00687557">
            <w:pPr>
              <w:rPr>
                <w:rFonts w:ascii="Arial" w:hAnsi="Arial" w:cs="Arial"/>
                <w:lang w:eastAsia="en-IE"/>
              </w:rPr>
            </w:pPr>
          </w:p>
          <w:p w14:paraId="60004AE2" w14:textId="2F0A6902" w:rsidR="00687557" w:rsidRPr="002050FD" w:rsidRDefault="00C61420" w:rsidP="00687557">
            <w:pPr>
              <w:rPr>
                <w:rFonts w:ascii="Arial" w:hAnsi="Arial" w:cs="Arial"/>
                <w:lang w:eastAsia="en-IE"/>
              </w:rPr>
            </w:pPr>
            <w:r>
              <w:rPr>
                <w:rFonts w:ascii="Arial" w:hAnsi="Arial" w:cs="Arial"/>
                <w:lang w:eastAsia="en-IE"/>
              </w:rPr>
              <w:t>TBC</w:t>
            </w:r>
          </w:p>
        </w:tc>
        <w:tc>
          <w:tcPr>
            <w:tcW w:w="6520" w:type="dxa"/>
          </w:tcPr>
          <w:p w14:paraId="1F1AAB0E" w14:textId="77777777" w:rsidR="00687557" w:rsidRDefault="00687557" w:rsidP="00687557">
            <w:pPr>
              <w:rPr>
                <w:rFonts w:ascii="Arial" w:hAnsi="Arial" w:cs="Arial"/>
                <w:bCs/>
                <w:lang w:eastAsia="en-IE"/>
              </w:rPr>
            </w:pPr>
          </w:p>
          <w:p w14:paraId="0645B2AC" w14:textId="02C5796E" w:rsidR="00687557" w:rsidRPr="002050FD" w:rsidRDefault="00687557" w:rsidP="00687557">
            <w:pPr>
              <w:shd w:val="clear" w:color="auto" w:fill="FFFFFF"/>
              <w:rPr>
                <w:rFonts w:ascii="Arial" w:hAnsi="Arial" w:cs="Arial"/>
                <w:color w:val="000000"/>
              </w:rPr>
            </w:pPr>
            <w:r w:rsidRPr="002050FD">
              <w:rPr>
                <w:rFonts w:ascii="Arial" w:hAnsi="Arial" w:cs="Arial"/>
                <w:bCs/>
                <w:lang w:eastAsia="en-IE"/>
              </w:rPr>
              <w:t xml:space="preserve">Topic 4: Options </w:t>
            </w:r>
            <w:r w:rsidRPr="002050FD">
              <w:rPr>
                <w:rFonts w:ascii="Arial" w:hAnsi="Arial" w:cs="Arial"/>
              </w:rPr>
              <w:t>– Hull, Chapter 1</w:t>
            </w:r>
            <w:r>
              <w:rPr>
                <w:rFonts w:ascii="Arial" w:hAnsi="Arial" w:cs="Arial"/>
              </w:rPr>
              <w:t xml:space="preserve">1 </w:t>
            </w:r>
            <w:r w:rsidR="00EF7973">
              <w:rPr>
                <w:rFonts w:ascii="Arial" w:hAnsi="Arial" w:cs="Arial"/>
              </w:rPr>
              <w:t>, Guest Speaker</w:t>
            </w:r>
          </w:p>
        </w:tc>
      </w:tr>
      <w:tr w:rsidR="00687557" w14:paraId="46917F11" w14:textId="77777777" w:rsidTr="00416AA3">
        <w:tc>
          <w:tcPr>
            <w:tcW w:w="1102" w:type="dxa"/>
          </w:tcPr>
          <w:p w14:paraId="1811E0B2" w14:textId="77777777" w:rsidR="00687557" w:rsidRPr="002050FD" w:rsidRDefault="00687557" w:rsidP="00687557">
            <w:pPr>
              <w:jc w:val="center"/>
              <w:rPr>
                <w:rFonts w:ascii="Arial" w:hAnsi="Arial" w:cs="Arial"/>
                <w:lang w:eastAsia="en-IE"/>
              </w:rPr>
            </w:pPr>
          </w:p>
          <w:p w14:paraId="00E5BAAD" w14:textId="77777777" w:rsidR="00687557" w:rsidRPr="002050FD" w:rsidRDefault="00687557" w:rsidP="00687557">
            <w:pPr>
              <w:jc w:val="center"/>
              <w:rPr>
                <w:rFonts w:ascii="Arial" w:hAnsi="Arial" w:cs="Arial"/>
                <w:lang w:eastAsia="en-IE"/>
              </w:rPr>
            </w:pPr>
            <w:r w:rsidRPr="002050FD">
              <w:rPr>
                <w:rFonts w:ascii="Arial" w:hAnsi="Arial" w:cs="Arial"/>
                <w:lang w:eastAsia="en-IE"/>
              </w:rPr>
              <w:t>7</w:t>
            </w:r>
          </w:p>
          <w:p w14:paraId="32D96B89" w14:textId="77777777" w:rsidR="00687557" w:rsidRPr="002050FD" w:rsidRDefault="00687557" w:rsidP="00687557">
            <w:pPr>
              <w:jc w:val="center"/>
              <w:rPr>
                <w:rFonts w:ascii="Arial" w:hAnsi="Arial" w:cs="Arial"/>
                <w:lang w:eastAsia="en-IE"/>
              </w:rPr>
            </w:pPr>
          </w:p>
        </w:tc>
        <w:tc>
          <w:tcPr>
            <w:tcW w:w="2012" w:type="dxa"/>
          </w:tcPr>
          <w:p w14:paraId="3DB52993" w14:textId="77777777" w:rsidR="00687557" w:rsidRDefault="00687557" w:rsidP="00687557">
            <w:pPr>
              <w:jc w:val="center"/>
              <w:rPr>
                <w:rFonts w:ascii="Arial" w:hAnsi="Arial" w:cs="Arial"/>
                <w:lang w:eastAsia="en-IE"/>
              </w:rPr>
            </w:pPr>
          </w:p>
          <w:p w14:paraId="59FF2AE1" w14:textId="268DA9EA" w:rsidR="00687557" w:rsidRDefault="00C61420" w:rsidP="00687557">
            <w:pPr>
              <w:rPr>
                <w:rFonts w:ascii="Arial" w:hAnsi="Arial" w:cs="Arial"/>
                <w:lang w:eastAsia="en-IE"/>
              </w:rPr>
            </w:pPr>
            <w:r>
              <w:rPr>
                <w:rFonts w:ascii="Arial" w:hAnsi="Arial" w:cs="Arial"/>
                <w:lang w:eastAsia="en-IE"/>
              </w:rPr>
              <w:t>TBC</w:t>
            </w:r>
          </w:p>
        </w:tc>
        <w:tc>
          <w:tcPr>
            <w:tcW w:w="6520" w:type="dxa"/>
          </w:tcPr>
          <w:p w14:paraId="625AEBFB" w14:textId="77777777" w:rsidR="00687557" w:rsidRDefault="00687557" w:rsidP="00687557">
            <w:pPr>
              <w:shd w:val="clear" w:color="auto" w:fill="FFFFFF"/>
              <w:rPr>
                <w:rFonts w:ascii="Arial" w:hAnsi="Arial" w:cs="Arial"/>
                <w:color w:val="000000"/>
              </w:rPr>
            </w:pPr>
          </w:p>
          <w:p w14:paraId="5704966D" w14:textId="762AC881" w:rsidR="00687557" w:rsidRDefault="00687557" w:rsidP="00687557">
            <w:pPr>
              <w:shd w:val="clear" w:color="auto" w:fill="FFFFFF"/>
              <w:rPr>
                <w:rFonts w:ascii="Arial" w:hAnsi="Arial" w:cs="Arial"/>
                <w:color w:val="000000"/>
              </w:rPr>
            </w:pPr>
            <w:r>
              <w:rPr>
                <w:rFonts w:ascii="Arial" w:hAnsi="Arial" w:cs="Arial"/>
                <w:color w:val="000000"/>
              </w:rPr>
              <w:t>Reading Week</w:t>
            </w:r>
          </w:p>
          <w:p w14:paraId="2D1CD7DA" w14:textId="1D475A0E" w:rsidR="00687557" w:rsidRDefault="00687557" w:rsidP="00687557">
            <w:pPr>
              <w:shd w:val="clear" w:color="auto" w:fill="FFFFFF"/>
              <w:rPr>
                <w:rFonts w:ascii="Arial" w:hAnsi="Arial" w:cs="Arial"/>
                <w:color w:val="000000"/>
              </w:rPr>
            </w:pPr>
          </w:p>
        </w:tc>
      </w:tr>
      <w:tr w:rsidR="00687557" w14:paraId="35400625" w14:textId="77777777" w:rsidTr="00C74BCA">
        <w:trPr>
          <w:trHeight w:val="699"/>
        </w:trPr>
        <w:tc>
          <w:tcPr>
            <w:tcW w:w="1102" w:type="dxa"/>
          </w:tcPr>
          <w:p w14:paraId="51E97D5A" w14:textId="77777777" w:rsidR="00687557" w:rsidRPr="002050FD" w:rsidRDefault="00687557" w:rsidP="00687557">
            <w:pPr>
              <w:jc w:val="center"/>
              <w:rPr>
                <w:rFonts w:ascii="Arial" w:hAnsi="Arial" w:cs="Arial"/>
                <w:lang w:eastAsia="en-IE"/>
              </w:rPr>
            </w:pPr>
          </w:p>
          <w:p w14:paraId="5171982C" w14:textId="585EE47F" w:rsidR="00687557" w:rsidRPr="002050FD" w:rsidRDefault="00687557" w:rsidP="00687557">
            <w:pPr>
              <w:jc w:val="center"/>
              <w:rPr>
                <w:rFonts w:ascii="Arial" w:hAnsi="Arial" w:cs="Arial"/>
                <w:lang w:eastAsia="en-IE"/>
              </w:rPr>
            </w:pPr>
            <w:r>
              <w:rPr>
                <w:rFonts w:ascii="Arial" w:hAnsi="Arial" w:cs="Arial"/>
                <w:lang w:eastAsia="en-IE"/>
              </w:rPr>
              <w:t>8</w:t>
            </w:r>
          </w:p>
          <w:p w14:paraId="6F78B43E" w14:textId="057AC203" w:rsidR="00687557" w:rsidRPr="002050FD" w:rsidRDefault="00687557" w:rsidP="00687557">
            <w:pPr>
              <w:jc w:val="center"/>
              <w:rPr>
                <w:rFonts w:ascii="Arial" w:hAnsi="Arial" w:cs="Arial"/>
                <w:lang w:eastAsia="en-IE"/>
              </w:rPr>
            </w:pPr>
          </w:p>
        </w:tc>
        <w:tc>
          <w:tcPr>
            <w:tcW w:w="2012" w:type="dxa"/>
          </w:tcPr>
          <w:p w14:paraId="70A6C2E7" w14:textId="77777777" w:rsidR="00687557" w:rsidRDefault="00687557" w:rsidP="00687557">
            <w:pPr>
              <w:jc w:val="center"/>
              <w:rPr>
                <w:rFonts w:ascii="Arial" w:hAnsi="Arial" w:cs="Arial"/>
                <w:lang w:eastAsia="en-IE"/>
              </w:rPr>
            </w:pPr>
          </w:p>
          <w:p w14:paraId="04A793C1" w14:textId="5E2B2FE8" w:rsidR="00687557" w:rsidRPr="002050FD" w:rsidRDefault="00C61420" w:rsidP="00687557">
            <w:pPr>
              <w:rPr>
                <w:rFonts w:ascii="Arial" w:hAnsi="Arial" w:cs="Arial"/>
                <w:lang w:eastAsia="en-IE"/>
              </w:rPr>
            </w:pPr>
            <w:r>
              <w:rPr>
                <w:rFonts w:ascii="Arial" w:hAnsi="Arial" w:cs="Arial"/>
                <w:lang w:eastAsia="en-IE"/>
              </w:rPr>
              <w:t>TBC</w:t>
            </w:r>
          </w:p>
        </w:tc>
        <w:tc>
          <w:tcPr>
            <w:tcW w:w="6520" w:type="dxa"/>
          </w:tcPr>
          <w:p w14:paraId="732A6C19" w14:textId="77777777" w:rsidR="00687557" w:rsidRDefault="00687557" w:rsidP="00687557">
            <w:pPr>
              <w:rPr>
                <w:rFonts w:ascii="Arial" w:hAnsi="Arial" w:cs="Arial"/>
                <w:lang w:eastAsia="en-IE"/>
              </w:rPr>
            </w:pPr>
          </w:p>
          <w:p w14:paraId="2BDC15E0" w14:textId="55314E13" w:rsidR="00687557" w:rsidRPr="002050FD" w:rsidRDefault="00EF7973" w:rsidP="00687557">
            <w:pPr>
              <w:rPr>
                <w:rFonts w:ascii="Arial" w:hAnsi="Arial" w:cs="Arial"/>
                <w:lang w:eastAsia="en-IE"/>
              </w:rPr>
            </w:pPr>
            <w:r>
              <w:rPr>
                <w:rFonts w:ascii="Arial" w:hAnsi="Arial" w:cs="Arial"/>
                <w:color w:val="000000"/>
              </w:rPr>
              <w:t>Revision Class Test</w:t>
            </w:r>
          </w:p>
        </w:tc>
      </w:tr>
      <w:tr w:rsidR="00687557" w14:paraId="79184A52" w14:textId="77777777" w:rsidTr="00C74BCA">
        <w:trPr>
          <w:trHeight w:val="711"/>
        </w:trPr>
        <w:tc>
          <w:tcPr>
            <w:tcW w:w="1102" w:type="dxa"/>
            <w:hideMark/>
          </w:tcPr>
          <w:p w14:paraId="0DF757F8" w14:textId="77777777" w:rsidR="00687557" w:rsidRPr="002050FD" w:rsidRDefault="00687557" w:rsidP="00687557">
            <w:pPr>
              <w:jc w:val="center"/>
              <w:rPr>
                <w:rFonts w:ascii="Arial" w:hAnsi="Arial" w:cs="Arial"/>
                <w:lang w:eastAsia="en-IE"/>
              </w:rPr>
            </w:pPr>
          </w:p>
          <w:p w14:paraId="1F47B54B" w14:textId="16DB6CB2" w:rsidR="00687557" w:rsidRPr="002050FD" w:rsidRDefault="00687557" w:rsidP="00687557">
            <w:pPr>
              <w:rPr>
                <w:rFonts w:ascii="Arial" w:hAnsi="Arial" w:cs="Arial"/>
                <w:lang w:eastAsia="en-IE"/>
              </w:rPr>
            </w:pPr>
            <w:r>
              <w:rPr>
                <w:rFonts w:ascii="Arial" w:hAnsi="Arial" w:cs="Arial"/>
                <w:lang w:eastAsia="en-IE"/>
              </w:rPr>
              <w:t xml:space="preserve">     9</w:t>
            </w:r>
          </w:p>
        </w:tc>
        <w:tc>
          <w:tcPr>
            <w:tcW w:w="2012" w:type="dxa"/>
          </w:tcPr>
          <w:p w14:paraId="62E452DA" w14:textId="77777777" w:rsidR="00687557" w:rsidRDefault="00687557" w:rsidP="00687557">
            <w:pPr>
              <w:rPr>
                <w:rFonts w:ascii="Arial" w:hAnsi="Arial" w:cs="Arial"/>
                <w:lang w:eastAsia="en-IE"/>
              </w:rPr>
            </w:pPr>
          </w:p>
          <w:p w14:paraId="1D02C368" w14:textId="267B6BA9" w:rsidR="00687557" w:rsidRPr="002050FD" w:rsidRDefault="00C61420" w:rsidP="00687557">
            <w:pPr>
              <w:rPr>
                <w:rFonts w:ascii="Arial" w:hAnsi="Arial" w:cs="Arial"/>
                <w:lang w:eastAsia="en-IE"/>
              </w:rPr>
            </w:pPr>
            <w:r>
              <w:rPr>
                <w:rFonts w:ascii="Arial" w:hAnsi="Arial" w:cs="Arial"/>
                <w:lang w:eastAsia="en-IE"/>
              </w:rPr>
              <w:t>TBC</w:t>
            </w:r>
          </w:p>
        </w:tc>
        <w:tc>
          <w:tcPr>
            <w:tcW w:w="6520" w:type="dxa"/>
          </w:tcPr>
          <w:p w14:paraId="0957F82D" w14:textId="77777777" w:rsidR="00687557" w:rsidRDefault="00687557" w:rsidP="00687557">
            <w:pPr>
              <w:rPr>
                <w:rFonts w:ascii="Arial" w:hAnsi="Arial" w:cs="Arial"/>
                <w:color w:val="000000"/>
              </w:rPr>
            </w:pPr>
          </w:p>
          <w:p w14:paraId="0E0F395D" w14:textId="354D9906" w:rsidR="00687557" w:rsidRPr="002050FD" w:rsidRDefault="00EF7973" w:rsidP="00687557">
            <w:pPr>
              <w:rPr>
                <w:rFonts w:ascii="Arial" w:hAnsi="Arial" w:cs="Arial"/>
                <w:lang w:eastAsia="en-IE"/>
              </w:rPr>
            </w:pPr>
            <w:r>
              <w:rPr>
                <w:rFonts w:ascii="Arial" w:hAnsi="Arial" w:cs="Arial"/>
                <w:color w:val="000000"/>
              </w:rPr>
              <w:t xml:space="preserve">In-Class Test, Topic 5: </w:t>
            </w:r>
            <w:r w:rsidR="00687557" w:rsidRPr="002050FD">
              <w:rPr>
                <w:rFonts w:ascii="Arial" w:hAnsi="Arial" w:cs="Arial"/>
                <w:color w:val="000000"/>
              </w:rPr>
              <w:t xml:space="preserve">Options Pricing </w:t>
            </w:r>
            <w:r w:rsidR="00687557" w:rsidRPr="002050FD">
              <w:rPr>
                <w:rFonts w:ascii="Arial" w:hAnsi="Arial" w:cs="Arial"/>
              </w:rPr>
              <w:t xml:space="preserve">– Hull, Chapter </w:t>
            </w:r>
            <w:r w:rsidR="00687557">
              <w:rPr>
                <w:rFonts w:ascii="Arial" w:hAnsi="Arial" w:cs="Arial"/>
              </w:rPr>
              <w:t>12</w:t>
            </w:r>
          </w:p>
        </w:tc>
      </w:tr>
      <w:tr w:rsidR="00687557" w14:paraId="56E2566F" w14:textId="77777777" w:rsidTr="00416AA3">
        <w:tc>
          <w:tcPr>
            <w:tcW w:w="1102" w:type="dxa"/>
          </w:tcPr>
          <w:p w14:paraId="4C39DEAE" w14:textId="77777777" w:rsidR="00687557" w:rsidRDefault="00687557" w:rsidP="00687557">
            <w:pPr>
              <w:jc w:val="center"/>
              <w:rPr>
                <w:rFonts w:ascii="Arial" w:hAnsi="Arial" w:cs="Arial"/>
                <w:lang w:eastAsia="en-IE"/>
              </w:rPr>
            </w:pPr>
          </w:p>
          <w:p w14:paraId="75503930" w14:textId="66079707" w:rsidR="00687557" w:rsidRPr="002050FD" w:rsidRDefault="00687557" w:rsidP="00687557">
            <w:pPr>
              <w:jc w:val="center"/>
              <w:rPr>
                <w:rFonts w:ascii="Arial" w:hAnsi="Arial" w:cs="Arial"/>
                <w:lang w:eastAsia="en-IE"/>
              </w:rPr>
            </w:pPr>
            <w:r>
              <w:rPr>
                <w:rFonts w:ascii="Arial" w:hAnsi="Arial" w:cs="Arial"/>
                <w:lang w:eastAsia="en-IE"/>
              </w:rPr>
              <w:t>10</w:t>
            </w:r>
          </w:p>
        </w:tc>
        <w:tc>
          <w:tcPr>
            <w:tcW w:w="2012" w:type="dxa"/>
          </w:tcPr>
          <w:p w14:paraId="15D08A35" w14:textId="77777777" w:rsidR="00687557" w:rsidRDefault="00687557" w:rsidP="00687557">
            <w:pPr>
              <w:jc w:val="center"/>
              <w:rPr>
                <w:rFonts w:ascii="Arial" w:hAnsi="Arial" w:cs="Arial"/>
                <w:lang w:eastAsia="en-IE"/>
              </w:rPr>
            </w:pPr>
          </w:p>
          <w:p w14:paraId="21AECBF8" w14:textId="7ED30E27" w:rsidR="00687557" w:rsidRPr="002050FD" w:rsidRDefault="00C61420" w:rsidP="00687557">
            <w:pPr>
              <w:rPr>
                <w:rFonts w:ascii="Arial" w:hAnsi="Arial" w:cs="Arial"/>
                <w:lang w:eastAsia="en-IE"/>
              </w:rPr>
            </w:pPr>
            <w:r>
              <w:rPr>
                <w:rFonts w:ascii="Arial" w:hAnsi="Arial" w:cs="Arial"/>
                <w:lang w:eastAsia="en-IE"/>
              </w:rPr>
              <w:t>TBC</w:t>
            </w:r>
          </w:p>
        </w:tc>
        <w:tc>
          <w:tcPr>
            <w:tcW w:w="6520" w:type="dxa"/>
          </w:tcPr>
          <w:p w14:paraId="71A6BE4E" w14:textId="77777777" w:rsidR="00687557" w:rsidRDefault="00687557" w:rsidP="00687557">
            <w:pPr>
              <w:rPr>
                <w:rFonts w:ascii="Arial" w:hAnsi="Arial" w:cs="Arial"/>
              </w:rPr>
            </w:pPr>
          </w:p>
          <w:p w14:paraId="07733536" w14:textId="774BBADF" w:rsidR="00687557" w:rsidRDefault="00687557" w:rsidP="00687557">
            <w:pPr>
              <w:rPr>
                <w:rFonts w:ascii="Arial" w:hAnsi="Arial" w:cs="Arial"/>
              </w:rPr>
            </w:pPr>
            <w:r w:rsidRPr="002050FD">
              <w:rPr>
                <w:rFonts w:ascii="Arial" w:hAnsi="Arial" w:cs="Arial"/>
              </w:rPr>
              <w:t>Topic 6: Options</w:t>
            </w:r>
            <w:r w:rsidR="00EF7973">
              <w:rPr>
                <w:rFonts w:ascii="Arial" w:hAnsi="Arial" w:cs="Arial"/>
              </w:rPr>
              <w:t xml:space="preserve"> Pricing </w:t>
            </w:r>
            <w:r w:rsidRPr="002050FD">
              <w:rPr>
                <w:rFonts w:ascii="Arial" w:hAnsi="Arial" w:cs="Arial"/>
              </w:rPr>
              <w:t xml:space="preserve">– Hull, Chapter </w:t>
            </w:r>
            <w:r>
              <w:rPr>
                <w:rFonts w:ascii="Arial" w:hAnsi="Arial" w:cs="Arial"/>
              </w:rPr>
              <w:t>1</w:t>
            </w:r>
            <w:r w:rsidR="00EF7973">
              <w:rPr>
                <w:rFonts w:ascii="Arial" w:hAnsi="Arial" w:cs="Arial"/>
              </w:rPr>
              <w:t>3</w:t>
            </w:r>
            <w:r>
              <w:rPr>
                <w:rFonts w:ascii="Arial" w:hAnsi="Arial" w:cs="Arial"/>
              </w:rPr>
              <w:t>, 1</w:t>
            </w:r>
            <w:r w:rsidR="00876CF0">
              <w:rPr>
                <w:rFonts w:ascii="Arial" w:hAnsi="Arial" w:cs="Arial"/>
              </w:rPr>
              <w:t>5</w:t>
            </w:r>
            <w:r>
              <w:rPr>
                <w:rFonts w:ascii="Arial" w:hAnsi="Arial" w:cs="Arial"/>
              </w:rPr>
              <w:t xml:space="preserve">, </w:t>
            </w:r>
            <w:r w:rsidRPr="002050FD">
              <w:rPr>
                <w:rFonts w:ascii="Arial" w:hAnsi="Arial" w:cs="Arial"/>
              </w:rPr>
              <w:t>1</w:t>
            </w:r>
            <w:r w:rsidR="00876CF0">
              <w:rPr>
                <w:rFonts w:ascii="Arial" w:hAnsi="Arial" w:cs="Arial"/>
              </w:rPr>
              <w:t>6</w:t>
            </w:r>
          </w:p>
          <w:p w14:paraId="49D3A15D" w14:textId="3C1EDF8F" w:rsidR="00687557" w:rsidRPr="002050FD" w:rsidRDefault="00687557" w:rsidP="00687557">
            <w:pPr>
              <w:rPr>
                <w:rFonts w:ascii="Arial" w:hAnsi="Arial" w:cs="Arial"/>
                <w:lang w:eastAsia="en-IE"/>
              </w:rPr>
            </w:pPr>
          </w:p>
        </w:tc>
      </w:tr>
      <w:tr w:rsidR="00687557" w14:paraId="1C36DF4F" w14:textId="77777777" w:rsidTr="00416AA3">
        <w:tc>
          <w:tcPr>
            <w:tcW w:w="1102" w:type="dxa"/>
          </w:tcPr>
          <w:p w14:paraId="57E7D81F" w14:textId="77777777" w:rsidR="00687557" w:rsidRDefault="00687557" w:rsidP="00687557">
            <w:pPr>
              <w:jc w:val="center"/>
              <w:rPr>
                <w:rFonts w:ascii="Arial" w:hAnsi="Arial" w:cs="Arial"/>
                <w:lang w:eastAsia="en-IE"/>
              </w:rPr>
            </w:pPr>
          </w:p>
          <w:p w14:paraId="340BDA2F" w14:textId="7D08DBDE" w:rsidR="00687557" w:rsidRPr="002050FD" w:rsidRDefault="00687557" w:rsidP="00687557">
            <w:pPr>
              <w:jc w:val="center"/>
              <w:rPr>
                <w:rFonts w:ascii="Arial" w:hAnsi="Arial" w:cs="Arial"/>
                <w:lang w:eastAsia="en-IE"/>
              </w:rPr>
            </w:pPr>
            <w:r>
              <w:rPr>
                <w:rFonts w:ascii="Arial" w:hAnsi="Arial" w:cs="Arial"/>
                <w:lang w:eastAsia="en-IE"/>
              </w:rPr>
              <w:t>11</w:t>
            </w:r>
          </w:p>
        </w:tc>
        <w:tc>
          <w:tcPr>
            <w:tcW w:w="2012" w:type="dxa"/>
          </w:tcPr>
          <w:p w14:paraId="6DE533AA" w14:textId="77777777" w:rsidR="00687557" w:rsidRDefault="00687557" w:rsidP="00687557">
            <w:pPr>
              <w:jc w:val="center"/>
              <w:rPr>
                <w:rFonts w:ascii="Arial" w:hAnsi="Arial" w:cs="Arial"/>
                <w:lang w:eastAsia="en-IE"/>
              </w:rPr>
            </w:pPr>
          </w:p>
          <w:p w14:paraId="45BDFC63" w14:textId="26AB9F85" w:rsidR="00687557" w:rsidRPr="002050FD" w:rsidRDefault="00C61420" w:rsidP="00687557">
            <w:pPr>
              <w:rPr>
                <w:rFonts w:ascii="Arial" w:hAnsi="Arial" w:cs="Arial"/>
                <w:lang w:eastAsia="en-IE"/>
              </w:rPr>
            </w:pPr>
            <w:r>
              <w:rPr>
                <w:rFonts w:ascii="Arial" w:hAnsi="Arial" w:cs="Arial"/>
                <w:lang w:eastAsia="en-IE"/>
              </w:rPr>
              <w:t>TBC</w:t>
            </w:r>
          </w:p>
        </w:tc>
        <w:tc>
          <w:tcPr>
            <w:tcW w:w="6520" w:type="dxa"/>
          </w:tcPr>
          <w:p w14:paraId="4C65D8C4" w14:textId="77777777" w:rsidR="00687557" w:rsidRDefault="00687557" w:rsidP="00687557">
            <w:pPr>
              <w:pStyle w:val="NormalWeb"/>
              <w:spacing w:before="0" w:beforeAutospacing="0" w:after="0" w:afterAutospacing="0"/>
              <w:jc w:val="both"/>
              <w:rPr>
                <w:rFonts w:ascii="Arial" w:hAnsi="Arial" w:cs="Arial"/>
              </w:rPr>
            </w:pPr>
          </w:p>
          <w:p w14:paraId="7D1046F6" w14:textId="12418CCD" w:rsidR="00687557" w:rsidRDefault="00687557" w:rsidP="00687557">
            <w:pPr>
              <w:pStyle w:val="NormalWeb"/>
              <w:spacing w:before="0" w:beforeAutospacing="0" w:after="0" w:afterAutospacing="0"/>
              <w:jc w:val="both"/>
              <w:rPr>
                <w:rFonts w:ascii="Arial" w:hAnsi="Arial" w:cs="Arial"/>
              </w:rPr>
            </w:pPr>
            <w:r w:rsidRPr="002050FD">
              <w:rPr>
                <w:rFonts w:ascii="Arial" w:hAnsi="Arial" w:cs="Arial"/>
              </w:rPr>
              <w:t>Topic 6: Option</w:t>
            </w:r>
            <w:r w:rsidR="00EF7973">
              <w:rPr>
                <w:rFonts w:ascii="Arial" w:hAnsi="Arial" w:cs="Arial"/>
              </w:rPr>
              <w:t xml:space="preserve"> </w:t>
            </w:r>
            <w:r w:rsidRPr="002050FD">
              <w:rPr>
                <w:rFonts w:ascii="Arial" w:hAnsi="Arial" w:cs="Arial"/>
              </w:rPr>
              <w:t>Greeks – Hull, Chapter 17</w:t>
            </w:r>
            <w:r w:rsidR="007641DE">
              <w:rPr>
                <w:rFonts w:ascii="Arial" w:hAnsi="Arial" w:cs="Arial"/>
              </w:rPr>
              <w:t xml:space="preserve">, </w:t>
            </w:r>
            <w:r w:rsidR="00EF7973">
              <w:rPr>
                <w:rFonts w:ascii="Arial" w:hAnsi="Arial" w:cs="Arial"/>
              </w:rPr>
              <w:t>Guest Speaker</w:t>
            </w:r>
          </w:p>
          <w:p w14:paraId="24884E77" w14:textId="69CD1E4C" w:rsidR="00687557" w:rsidRPr="002050FD" w:rsidRDefault="00687557" w:rsidP="00687557">
            <w:pPr>
              <w:pStyle w:val="NormalWeb"/>
              <w:spacing w:before="0" w:beforeAutospacing="0" w:after="0" w:afterAutospacing="0"/>
              <w:jc w:val="both"/>
              <w:rPr>
                <w:rFonts w:ascii="Arial" w:hAnsi="Arial" w:cs="Arial"/>
              </w:rPr>
            </w:pPr>
          </w:p>
        </w:tc>
      </w:tr>
      <w:tr w:rsidR="00687557" w14:paraId="4263DB92" w14:textId="77777777" w:rsidTr="00416AA3">
        <w:tc>
          <w:tcPr>
            <w:tcW w:w="1102" w:type="dxa"/>
          </w:tcPr>
          <w:p w14:paraId="650AC0F9" w14:textId="77777777" w:rsidR="00687557" w:rsidRDefault="00687557" w:rsidP="00687557">
            <w:pPr>
              <w:jc w:val="center"/>
              <w:rPr>
                <w:rFonts w:ascii="Arial" w:hAnsi="Arial" w:cs="Arial"/>
                <w:lang w:eastAsia="en-IE"/>
              </w:rPr>
            </w:pPr>
          </w:p>
          <w:p w14:paraId="1AE1BCCF" w14:textId="745B1392" w:rsidR="00687557" w:rsidRPr="002050FD" w:rsidRDefault="00687557" w:rsidP="00687557">
            <w:pPr>
              <w:jc w:val="center"/>
              <w:rPr>
                <w:rFonts w:ascii="Arial" w:hAnsi="Arial" w:cs="Arial"/>
                <w:lang w:eastAsia="en-IE"/>
              </w:rPr>
            </w:pPr>
            <w:r>
              <w:rPr>
                <w:rFonts w:ascii="Arial" w:hAnsi="Arial" w:cs="Arial"/>
                <w:lang w:eastAsia="en-IE"/>
              </w:rPr>
              <w:t>12</w:t>
            </w:r>
          </w:p>
        </w:tc>
        <w:tc>
          <w:tcPr>
            <w:tcW w:w="2012" w:type="dxa"/>
          </w:tcPr>
          <w:p w14:paraId="5203EC1A" w14:textId="77777777" w:rsidR="00687557" w:rsidRDefault="00687557" w:rsidP="00687557">
            <w:pPr>
              <w:jc w:val="center"/>
              <w:rPr>
                <w:rFonts w:ascii="Arial" w:hAnsi="Arial" w:cs="Arial"/>
                <w:lang w:eastAsia="en-IE"/>
              </w:rPr>
            </w:pPr>
          </w:p>
          <w:p w14:paraId="61150CFE" w14:textId="75E56DB3" w:rsidR="00687557" w:rsidRPr="002050FD" w:rsidRDefault="00C61420" w:rsidP="00687557">
            <w:pPr>
              <w:rPr>
                <w:rFonts w:ascii="Arial" w:hAnsi="Arial" w:cs="Arial"/>
                <w:lang w:eastAsia="en-IE"/>
              </w:rPr>
            </w:pPr>
            <w:r>
              <w:rPr>
                <w:rFonts w:ascii="Arial" w:hAnsi="Arial" w:cs="Arial"/>
                <w:lang w:eastAsia="en-IE"/>
              </w:rPr>
              <w:t>TBC</w:t>
            </w:r>
          </w:p>
        </w:tc>
        <w:tc>
          <w:tcPr>
            <w:tcW w:w="6520" w:type="dxa"/>
          </w:tcPr>
          <w:p w14:paraId="15FF0DFB" w14:textId="77777777" w:rsidR="00687557" w:rsidRDefault="00687557" w:rsidP="00687557">
            <w:pPr>
              <w:rPr>
                <w:rFonts w:ascii="Arial" w:hAnsi="Arial" w:cs="Arial"/>
                <w:lang w:eastAsia="en-IE"/>
              </w:rPr>
            </w:pPr>
          </w:p>
          <w:p w14:paraId="51D95957" w14:textId="2C3E0021" w:rsidR="00687557" w:rsidRDefault="00687557" w:rsidP="00687557">
            <w:pPr>
              <w:rPr>
                <w:rFonts w:ascii="Arial" w:hAnsi="Arial" w:cs="Arial"/>
                <w:lang w:eastAsia="en-IE"/>
              </w:rPr>
            </w:pPr>
            <w:r w:rsidRPr="002050FD">
              <w:rPr>
                <w:rFonts w:ascii="Arial" w:hAnsi="Arial" w:cs="Arial"/>
                <w:lang w:eastAsia="en-IE"/>
              </w:rPr>
              <w:t>Rev</w:t>
            </w:r>
            <w:r w:rsidR="00876CF0">
              <w:rPr>
                <w:rFonts w:ascii="Arial" w:hAnsi="Arial" w:cs="Arial"/>
                <w:lang w:eastAsia="en-IE"/>
              </w:rPr>
              <w:t xml:space="preserve">iew, Exam Preparation </w:t>
            </w:r>
          </w:p>
          <w:p w14:paraId="7FA04429" w14:textId="747F4725" w:rsidR="00687557" w:rsidRPr="002050FD" w:rsidRDefault="00687557" w:rsidP="00687557">
            <w:pPr>
              <w:rPr>
                <w:rFonts w:ascii="Arial" w:hAnsi="Arial" w:cs="Arial"/>
                <w:lang w:eastAsia="en-IE"/>
              </w:rPr>
            </w:pPr>
          </w:p>
        </w:tc>
      </w:tr>
    </w:tbl>
    <w:p w14:paraId="183EF760" w14:textId="77777777" w:rsidR="007641DE" w:rsidRDefault="007641DE" w:rsidP="00D6718A">
      <w:pPr>
        <w:pStyle w:val="BodyText2"/>
        <w:jc w:val="both"/>
        <w:rPr>
          <w:rFonts w:ascii="Arial" w:hAnsi="Arial" w:cs="Arial"/>
          <w:sz w:val="24"/>
        </w:rPr>
      </w:pPr>
    </w:p>
    <w:p w14:paraId="783CD482" w14:textId="50B187BF" w:rsidR="00D732E8" w:rsidRDefault="00D732E8" w:rsidP="00D6718A">
      <w:pPr>
        <w:pStyle w:val="BodyText2"/>
        <w:jc w:val="both"/>
        <w:rPr>
          <w:rFonts w:ascii="Arial" w:hAnsi="Arial" w:cs="Arial"/>
          <w:sz w:val="24"/>
        </w:rPr>
      </w:pPr>
    </w:p>
    <w:p w14:paraId="45C340B7" w14:textId="77777777" w:rsidR="002050FD" w:rsidRDefault="002050FD" w:rsidP="002050FD">
      <w:pPr>
        <w:pStyle w:val="BodyText2"/>
        <w:jc w:val="both"/>
        <w:rPr>
          <w:rFonts w:ascii="Arial" w:hAnsi="Arial" w:cs="Arial"/>
          <w:b/>
          <w:i w:val="0"/>
          <w:iCs w:val="0"/>
          <w:smallCaps/>
          <w:sz w:val="28"/>
          <w:szCs w:val="28"/>
        </w:rPr>
      </w:pPr>
      <w:r>
        <w:rPr>
          <w:rFonts w:ascii="Arial" w:hAnsi="Arial" w:cs="Arial"/>
          <w:b/>
          <w:i w:val="0"/>
          <w:iCs w:val="0"/>
          <w:smallCaps/>
          <w:sz w:val="28"/>
          <w:szCs w:val="28"/>
        </w:rPr>
        <w:t xml:space="preserve">Biographical Note: </w:t>
      </w:r>
    </w:p>
    <w:p w14:paraId="27B99367" w14:textId="77777777" w:rsidR="00B5264A" w:rsidRDefault="00B5264A" w:rsidP="005F4909">
      <w:pPr>
        <w:rPr>
          <w:rFonts w:ascii="Arial" w:hAnsi="Arial" w:cs="Arial"/>
          <w:color w:val="222222"/>
          <w:shd w:val="clear" w:color="auto" w:fill="FFFFFF"/>
          <w:lang w:eastAsia="en-GB"/>
        </w:rPr>
      </w:pPr>
    </w:p>
    <w:p w14:paraId="4C690E9B" w14:textId="395EA884" w:rsidR="00A66C21" w:rsidRPr="00D6664C" w:rsidRDefault="00B5264A" w:rsidP="00D6664C">
      <w:pPr>
        <w:rPr>
          <w:rFonts w:ascii="Arial" w:hAnsi="Arial" w:cs="Arial"/>
        </w:rPr>
      </w:pPr>
      <w:r w:rsidRPr="00F66114">
        <w:rPr>
          <w:rFonts w:ascii="Arial" w:hAnsi="Arial" w:cs="Arial"/>
        </w:rPr>
        <w:t xml:space="preserve">Niamh Wylie is an Assistant Professor in Finance at Trinity Business School and a former investment professional with over 15 years’ experience in financial markets across Dublin and London. </w:t>
      </w:r>
      <w:r w:rsidRPr="00F66114">
        <w:rPr>
          <w:rFonts w:ascii="Arial" w:hAnsi="Arial" w:cs="Arial"/>
        </w:rPr>
        <w:t>Following her degree in actuarial mathematics, Niamh</w:t>
      </w:r>
      <w:r w:rsidR="00F66114" w:rsidRPr="00F66114">
        <w:rPr>
          <w:rFonts w:ascii="Arial" w:hAnsi="Arial" w:cs="Arial"/>
        </w:rPr>
        <w:t xml:space="preserve"> </w:t>
      </w:r>
      <w:r w:rsidRPr="00F66114">
        <w:rPr>
          <w:rFonts w:ascii="Arial" w:hAnsi="Arial" w:cs="Arial"/>
        </w:rPr>
        <w:t>worked in trading, derivatives, and investment management with institutions including IIB Bank, Ulster Bank, Royal Bank of Scotland, and Coutts, where she was a Director, managing portfolios for high net worth clients</w:t>
      </w:r>
      <w:r w:rsidR="00F66114">
        <w:rPr>
          <w:rFonts w:ascii="Arial" w:hAnsi="Arial" w:cs="Arial"/>
        </w:rPr>
        <w:t>,</w:t>
      </w:r>
      <w:r w:rsidR="00F66114" w:rsidRPr="00F66114">
        <w:rPr>
          <w:rFonts w:ascii="Arial" w:hAnsi="Arial" w:cs="Arial"/>
        </w:rPr>
        <w:t xml:space="preserve"> </w:t>
      </w:r>
      <w:r w:rsidR="00F66114" w:rsidRPr="00F66114">
        <w:rPr>
          <w:rFonts w:ascii="Arial" w:hAnsi="Arial" w:cs="Arial"/>
          <w:color w:val="222222"/>
          <w:shd w:val="clear" w:color="auto" w:fill="FFFFFF"/>
          <w:lang w:eastAsia="en-GB"/>
        </w:rPr>
        <w:t>investing in a range of assets and derivatives, including equities, bonds, commercial property, commodities, Index funds, Exchange Traded Funds (ETFs), futures, options and option hedging strategies. Niamh has been a guest speaker, TA and lecturer at Trinity College since 2017 in the subjects of Derivatives, Investment Analysis, Introduction to Finance</w:t>
      </w:r>
      <w:r w:rsidR="00F66114">
        <w:rPr>
          <w:rFonts w:ascii="Arial" w:hAnsi="Arial" w:cs="Arial"/>
          <w:color w:val="222222"/>
          <w:shd w:val="clear" w:color="auto" w:fill="FFFFFF"/>
          <w:lang w:eastAsia="en-GB"/>
        </w:rPr>
        <w:t xml:space="preserve">, </w:t>
      </w:r>
      <w:r w:rsidR="00F66114" w:rsidRPr="00F66114">
        <w:rPr>
          <w:rFonts w:ascii="Arial" w:hAnsi="Arial" w:cs="Arial"/>
          <w:color w:val="222222"/>
          <w:shd w:val="clear" w:color="auto" w:fill="FFFFFF"/>
          <w:lang w:eastAsia="en-GB"/>
        </w:rPr>
        <w:t>Fixed Income and Alternative Investments</w:t>
      </w:r>
      <w:r w:rsidR="00F66114">
        <w:rPr>
          <w:rFonts w:ascii="Arial" w:hAnsi="Arial" w:cs="Arial"/>
          <w:color w:val="222222"/>
          <w:shd w:val="clear" w:color="auto" w:fill="FFFFFF"/>
          <w:lang w:eastAsia="en-GB"/>
        </w:rPr>
        <w:t xml:space="preserve"> and Money &amp; Banking</w:t>
      </w:r>
      <w:r w:rsidR="00F66114" w:rsidRPr="00F66114">
        <w:rPr>
          <w:rFonts w:ascii="Arial" w:hAnsi="Arial" w:cs="Arial"/>
          <w:color w:val="222222"/>
          <w:shd w:val="clear" w:color="auto" w:fill="FFFFFF"/>
          <w:lang w:eastAsia="en-GB"/>
        </w:rPr>
        <w:t xml:space="preserve">. </w:t>
      </w:r>
      <w:r w:rsidRPr="00F66114">
        <w:rPr>
          <w:rFonts w:ascii="Arial" w:hAnsi="Arial" w:cs="Arial"/>
        </w:rPr>
        <w:t>Niamh completed her PhD at Trinity Business School in 2024, examining the relationship between unconventional monetary policy and cryptocurrency markets, and she has published in leading international ABS journals.</w:t>
      </w:r>
      <w:r w:rsidRPr="00F66114">
        <w:rPr>
          <w:rFonts w:ascii="Arial" w:hAnsi="Arial" w:cs="Arial"/>
        </w:rPr>
        <w:t xml:space="preserve"> </w:t>
      </w:r>
      <w:r w:rsidRPr="00F66114">
        <w:rPr>
          <w:rFonts w:ascii="Arial" w:hAnsi="Arial" w:cs="Arial"/>
        </w:rPr>
        <w:t xml:space="preserve">Her research interests include behavioural finance, unconventional monetary policy, traditional and digital asset markets and fostering public trust in institutions. </w:t>
      </w:r>
      <w:r w:rsidRPr="00F66114">
        <w:rPr>
          <w:rFonts w:ascii="Arial" w:hAnsi="Arial" w:cs="Arial"/>
        </w:rPr>
        <w:t>In addition, Niamh</w:t>
      </w:r>
      <w:r w:rsidRPr="00F66114">
        <w:rPr>
          <w:rFonts w:ascii="Arial" w:hAnsi="Arial" w:cs="Arial"/>
        </w:rPr>
        <w:t xml:space="preserve"> </w:t>
      </w:r>
      <w:r w:rsidRPr="00F66114">
        <w:rPr>
          <w:rFonts w:ascii="Arial" w:hAnsi="Arial" w:cs="Arial"/>
        </w:rPr>
        <w:t xml:space="preserve">has </w:t>
      </w:r>
      <w:r w:rsidRPr="00F66114">
        <w:rPr>
          <w:rFonts w:ascii="Arial" w:hAnsi="Arial" w:cs="Arial"/>
        </w:rPr>
        <w:t>developed highly rated courses in machine learning and financial data analytics. Combining both her academic and industry experience, Niamh brings a practical</w:t>
      </w:r>
      <w:r w:rsidR="00F66114" w:rsidRPr="00F66114">
        <w:rPr>
          <w:rFonts w:ascii="Arial" w:hAnsi="Arial" w:cs="Arial"/>
        </w:rPr>
        <w:t>, real-world</w:t>
      </w:r>
      <w:r w:rsidRPr="00F66114">
        <w:rPr>
          <w:rFonts w:ascii="Arial" w:hAnsi="Arial" w:cs="Arial"/>
        </w:rPr>
        <w:t xml:space="preserve"> perspective to </w:t>
      </w:r>
      <w:r w:rsidRPr="00F66114">
        <w:rPr>
          <w:rFonts w:ascii="Arial" w:hAnsi="Arial" w:cs="Arial"/>
        </w:rPr>
        <w:t>the</w:t>
      </w:r>
      <w:r w:rsidRPr="00F66114">
        <w:rPr>
          <w:rFonts w:ascii="Arial" w:hAnsi="Arial" w:cs="Arial"/>
        </w:rPr>
        <w:t xml:space="preserve"> </w:t>
      </w:r>
      <w:r w:rsidRPr="00F66114">
        <w:rPr>
          <w:rFonts w:ascii="Arial" w:hAnsi="Arial" w:cs="Arial"/>
        </w:rPr>
        <w:t>derivatives module</w:t>
      </w:r>
      <w:r w:rsidR="00F66114" w:rsidRPr="00F66114">
        <w:rPr>
          <w:rFonts w:ascii="Arial" w:hAnsi="Arial" w:cs="Arial"/>
        </w:rPr>
        <w:t xml:space="preserve">, enhancing student </w:t>
      </w:r>
      <w:r w:rsidR="00774E94">
        <w:rPr>
          <w:rFonts w:ascii="Arial" w:hAnsi="Arial" w:cs="Arial"/>
        </w:rPr>
        <w:t>learning</w:t>
      </w:r>
      <w:r w:rsidR="00F66114" w:rsidRPr="00F66114">
        <w:rPr>
          <w:rFonts w:ascii="Arial" w:hAnsi="Arial" w:cs="Arial"/>
        </w:rPr>
        <w:t xml:space="preserve"> and supporting future </w:t>
      </w:r>
      <w:r w:rsidRPr="00F66114">
        <w:rPr>
          <w:rFonts w:ascii="Arial" w:hAnsi="Arial" w:cs="Arial"/>
        </w:rPr>
        <w:t xml:space="preserve">career </w:t>
      </w:r>
      <w:r w:rsidR="00F66114">
        <w:rPr>
          <w:rFonts w:ascii="Arial" w:hAnsi="Arial" w:cs="Arial"/>
        </w:rPr>
        <w:t>prospects</w:t>
      </w:r>
      <w:r w:rsidRPr="00F66114">
        <w:rPr>
          <w:rFonts w:ascii="Arial" w:hAnsi="Arial" w:cs="Arial"/>
        </w:rPr>
        <w:t xml:space="preserve"> in finance</w:t>
      </w:r>
      <w:r w:rsidR="00F66114" w:rsidRPr="00F66114">
        <w:rPr>
          <w:rFonts w:ascii="Arial" w:hAnsi="Arial" w:cs="Arial"/>
        </w:rPr>
        <w:t xml:space="preserve">. </w:t>
      </w:r>
    </w:p>
    <w:sectPr w:rsidR="00A66C21" w:rsidRPr="00D6664C" w:rsidSect="006D6D3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E9475" w14:textId="77777777" w:rsidR="00FF3CFF" w:rsidRDefault="00FF3CFF" w:rsidP="006D6D3A">
      <w:r>
        <w:separator/>
      </w:r>
    </w:p>
  </w:endnote>
  <w:endnote w:type="continuationSeparator" w:id="0">
    <w:p w14:paraId="322B9FF0" w14:textId="77777777" w:rsidR="00FF3CFF" w:rsidRDefault="00FF3CFF"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D9DFD" w14:textId="77777777" w:rsidR="00FF3CFF" w:rsidRDefault="00FF3CFF" w:rsidP="006D6D3A">
      <w:r>
        <w:separator/>
      </w:r>
    </w:p>
  </w:footnote>
  <w:footnote w:type="continuationSeparator" w:id="0">
    <w:p w14:paraId="3A03F7D2" w14:textId="77777777" w:rsidR="00FF3CFF" w:rsidRDefault="00FF3CFF"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256E"/>
    <w:multiLevelType w:val="hybridMultilevel"/>
    <w:tmpl w:val="6450B3EC"/>
    <w:lvl w:ilvl="0" w:tplc="04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1165DF"/>
    <w:multiLevelType w:val="hybridMultilevel"/>
    <w:tmpl w:val="D136812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4"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6"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3"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8"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843224">
    <w:abstractNumId w:val="6"/>
  </w:num>
  <w:num w:numId="2" w16cid:durableId="1226835941">
    <w:abstractNumId w:val="12"/>
  </w:num>
  <w:num w:numId="3" w16cid:durableId="3455196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351970">
    <w:abstractNumId w:val="22"/>
  </w:num>
  <w:num w:numId="5" w16cid:durableId="1495755025">
    <w:abstractNumId w:val="5"/>
  </w:num>
  <w:num w:numId="6" w16cid:durableId="985400347">
    <w:abstractNumId w:val="21"/>
  </w:num>
  <w:num w:numId="7" w16cid:durableId="1583762473">
    <w:abstractNumId w:val="25"/>
  </w:num>
  <w:num w:numId="8" w16cid:durableId="749036689">
    <w:abstractNumId w:val="23"/>
  </w:num>
  <w:num w:numId="9" w16cid:durableId="600063793">
    <w:abstractNumId w:val="8"/>
  </w:num>
  <w:num w:numId="10" w16cid:durableId="1605070346">
    <w:abstractNumId w:val="13"/>
  </w:num>
  <w:num w:numId="11" w16cid:durableId="255215493">
    <w:abstractNumId w:val="24"/>
  </w:num>
  <w:num w:numId="12" w16cid:durableId="710232699">
    <w:abstractNumId w:val="16"/>
  </w:num>
  <w:num w:numId="13" w16cid:durableId="1438866548">
    <w:abstractNumId w:val="4"/>
  </w:num>
  <w:num w:numId="14" w16cid:durableId="473454334">
    <w:abstractNumId w:val="18"/>
  </w:num>
  <w:num w:numId="15" w16cid:durableId="2055734431">
    <w:abstractNumId w:val="14"/>
  </w:num>
  <w:num w:numId="16" w16cid:durableId="508640839">
    <w:abstractNumId w:val="17"/>
  </w:num>
  <w:num w:numId="17" w16cid:durableId="296373660">
    <w:abstractNumId w:val="2"/>
  </w:num>
  <w:num w:numId="18" w16cid:durableId="1792359130">
    <w:abstractNumId w:val="9"/>
  </w:num>
  <w:num w:numId="19" w16cid:durableId="663900653">
    <w:abstractNumId w:val="3"/>
  </w:num>
  <w:num w:numId="20" w16cid:durableId="821852370">
    <w:abstractNumId w:val="20"/>
  </w:num>
  <w:num w:numId="21" w16cid:durableId="1552036859">
    <w:abstractNumId w:val="7"/>
  </w:num>
  <w:num w:numId="22" w16cid:durableId="78791660">
    <w:abstractNumId w:val="15"/>
  </w:num>
  <w:num w:numId="23" w16cid:durableId="181864018">
    <w:abstractNumId w:val="11"/>
  </w:num>
  <w:num w:numId="24" w16cid:durableId="233199614">
    <w:abstractNumId w:val="10"/>
  </w:num>
  <w:num w:numId="25" w16cid:durableId="688871608">
    <w:abstractNumId w:val="1"/>
  </w:num>
  <w:num w:numId="26" w16cid:durableId="68656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17AF1"/>
    <w:rsid w:val="00025338"/>
    <w:rsid w:val="00053A9E"/>
    <w:rsid w:val="00065DF8"/>
    <w:rsid w:val="00073312"/>
    <w:rsid w:val="0008514B"/>
    <w:rsid w:val="00090B67"/>
    <w:rsid w:val="000924CD"/>
    <w:rsid w:val="000A2C1D"/>
    <w:rsid w:val="000C12A1"/>
    <w:rsid w:val="00105706"/>
    <w:rsid w:val="00122CE5"/>
    <w:rsid w:val="001628FD"/>
    <w:rsid w:val="001920C6"/>
    <w:rsid w:val="001A79FA"/>
    <w:rsid w:val="001B1932"/>
    <w:rsid w:val="001F198D"/>
    <w:rsid w:val="002050FD"/>
    <w:rsid w:val="002071F9"/>
    <w:rsid w:val="00217541"/>
    <w:rsid w:val="00263B50"/>
    <w:rsid w:val="002A03C2"/>
    <w:rsid w:val="002B250F"/>
    <w:rsid w:val="002B5410"/>
    <w:rsid w:val="002C3831"/>
    <w:rsid w:val="002F56BA"/>
    <w:rsid w:val="002F6524"/>
    <w:rsid w:val="00311AAB"/>
    <w:rsid w:val="003319B1"/>
    <w:rsid w:val="0033323E"/>
    <w:rsid w:val="003631DA"/>
    <w:rsid w:val="003A107A"/>
    <w:rsid w:val="003C6316"/>
    <w:rsid w:val="003E524A"/>
    <w:rsid w:val="003F6201"/>
    <w:rsid w:val="00416AA3"/>
    <w:rsid w:val="00445ED5"/>
    <w:rsid w:val="004963C6"/>
    <w:rsid w:val="004A183D"/>
    <w:rsid w:val="004B5ED9"/>
    <w:rsid w:val="004D2AEC"/>
    <w:rsid w:val="004D5D0E"/>
    <w:rsid w:val="004D7E40"/>
    <w:rsid w:val="004E6C2A"/>
    <w:rsid w:val="004F09A5"/>
    <w:rsid w:val="004F443E"/>
    <w:rsid w:val="004F6C92"/>
    <w:rsid w:val="004F7BD7"/>
    <w:rsid w:val="0051767F"/>
    <w:rsid w:val="00524E86"/>
    <w:rsid w:val="0054217E"/>
    <w:rsid w:val="00557225"/>
    <w:rsid w:val="00570204"/>
    <w:rsid w:val="00591D81"/>
    <w:rsid w:val="005A2E11"/>
    <w:rsid w:val="005D09D8"/>
    <w:rsid w:val="005D26F4"/>
    <w:rsid w:val="005F4909"/>
    <w:rsid w:val="00610E60"/>
    <w:rsid w:val="00614B4B"/>
    <w:rsid w:val="00616B8F"/>
    <w:rsid w:val="00631103"/>
    <w:rsid w:val="006378F8"/>
    <w:rsid w:val="00651DF3"/>
    <w:rsid w:val="00671759"/>
    <w:rsid w:val="00687322"/>
    <w:rsid w:val="00687557"/>
    <w:rsid w:val="0069718B"/>
    <w:rsid w:val="006B1AD8"/>
    <w:rsid w:val="006D27EA"/>
    <w:rsid w:val="006D6D3A"/>
    <w:rsid w:val="007264F3"/>
    <w:rsid w:val="007641DE"/>
    <w:rsid w:val="00774E94"/>
    <w:rsid w:val="007974CD"/>
    <w:rsid w:val="007A793B"/>
    <w:rsid w:val="007C59CC"/>
    <w:rsid w:val="007C5F2F"/>
    <w:rsid w:val="007C71FB"/>
    <w:rsid w:val="007E5944"/>
    <w:rsid w:val="00821ACE"/>
    <w:rsid w:val="00865FDE"/>
    <w:rsid w:val="00876CF0"/>
    <w:rsid w:val="008D6D65"/>
    <w:rsid w:val="008F51CC"/>
    <w:rsid w:val="0090417E"/>
    <w:rsid w:val="00931645"/>
    <w:rsid w:val="009E6214"/>
    <w:rsid w:val="009F3480"/>
    <w:rsid w:val="00A06CD1"/>
    <w:rsid w:val="00A15843"/>
    <w:rsid w:val="00A25DA2"/>
    <w:rsid w:val="00A57B9F"/>
    <w:rsid w:val="00A66C21"/>
    <w:rsid w:val="00A74AE2"/>
    <w:rsid w:val="00AA00B2"/>
    <w:rsid w:val="00AA2795"/>
    <w:rsid w:val="00AA7743"/>
    <w:rsid w:val="00AC24F3"/>
    <w:rsid w:val="00AE7A8E"/>
    <w:rsid w:val="00B23FB1"/>
    <w:rsid w:val="00B5264A"/>
    <w:rsid w:val="00B74CFD"/>
    <w:rsid w:val="00B86A04"/>
    <w:rsid w:val="00B9019E"/>
    <w:rsid w:val="00B932A4"/>
    <w:rsid w:val="00B95931"/>
    <w:rsid w:val="00BB162C"/>
    <w:rsid w:val="00BB3305"/>
    <w:rsid w:val="00BB4B31"/>
    <w:rsid w:val="00BD63C0"/>
    <w:rsid w:val="00BF22C1"/>
    <w:rsid w:val="00C604FB"/>
    <w:rsid w:val="00C61420"/>
    <w:rsid w:val="00C6579D"/>
    <w:rsid w:val="00C74BCA"/>
    <w:rsid w:val="00C7627F"/>
    <w:rsid w:val="00C86D92"/>
    <w:rsid w:val="00CD6A0E"/>
    <w:rsid w:val="00CF43F2"/>
    <w:rsid w:val="00D36A3C"/>
    <w:rsid w:val="00D5221D"/>
    <w:rsid w:val="00D53FB3"/>
    <w:rsid w:val="00D6664C"/>
    <w:rsid w:val="00D6718A"/>
    <w:rsid w:val="00D732E8"/>
    <w:rsid w:val="00D84F32"/>
    <w:rsid w:val="00D8661C"/>
    <w:rsid w:val="00D87F26"/>
    <w:rsid w:val="00DA1E44"/>
    <w:rsid w:val="00DB6D6F"/>
    <w:rsid w:val="00DC3B29"/>
    <w:rsid w:val="00DC7225"/>
    <w:rsid w:val="00E157B7"/>
    <w:rsid w:val="00E6202B"/>
    <w:rsid w:val="00E74CEF"/>
    <w:rsid w:val="00E7754F"/>
    <w:rsid w:val="00E943A8"/>
    <w:rsid w:val="00EB4DA4"/>
    <w:rsid w:val="00EC7CCC"/>
    <w:rsid w:val="00ED2846"/>
    <w:rsid w:val="00EE1BF0"/>
    <w:rsid w:val="00EE6047"/>
    <w:rsid w:val="00EF7973"/>
    <w:rsid w:val="00F43A3B"/>
    <w:rsid w:val="00F62D80"/>
    <w:rsid w:val="00F656BB"/>
    <w:rsid w:val="00F66114"/>
    <w:rsid w:val="00F678D4"/>
    <w:rsid w:val="00F74746"/>
    <w:rsid w:val="00F765CD"/>
    <w:rsid w:val="00FD52B3"/>
    <w:rsid w:val="00FE706C"/>
    <w:rsid w:val="00FF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table" w:styleId="TableGridLight">
    <w:name w:val="Grid Table Light"/>
    <w:basedOn w:val="TableNormal"/>
    <w:uiPriority w:val="40"/>
    <w:rsid w:val="00416A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82138">
      <w:bodyDiv w:val="1"/>
      <w:marLeft w:val="0"/>
      <w:marRight w:val="0"/>
      <w:marTop w:val="0"/>
      <w:marBottom w:val="0"/>
      <w:divBdr>
        <w:top w:val="none" w:sz="0" w:space="0" w:color="auto"/>
        <w:left w:val="none" w:sz="0" w:space="0" w:color="auto"/>
        <w:bottom w:val="none" w:sz="0" w:space="0" w:color="auto"/>
        <w:right w:val="none" w:sz="0" w:space="0" w:color="auto"/>
      </w:divBdr>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3C3DF-08DD-774C-BE73-8C68F8C6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815</Words>
  <Characters>4703</Characters>
  <Application>Microsoft Office Word</Application>
  <DocSecurity>0</DocSecurity>
  <Lines>142</Lines>
  <Paragraphs>102</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Niamh Wylie</cp:lastModifiedBy>
  <cp:revision>4</cp:revision>
  <cp:lastPrinted>2022-01-19T20:43:00Z</cp:lastPrinted>
  <dcterms:created xsi:type="dcterms:W3CDTF">2026-06-23T21:20:00Z</dcterms:created>
  <dcterms:modified xsi:type="dcterms:W3CDTF">2026-06-23T21:49:00Z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