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bottom w:color="000000" w:space="1" w:sz="12" w:val="single"/>
        </w:pBdr>
        <w:ind w:left="1418" w:hanging="1418"/>
        <w:jc w:val="both"/>
        <w:rPr>
          <w:b w:val="1"/>
          <w:bCs w:val="1"/>
        </w:rPr>
      </w:pPr>
      <w:r w:rsidDel="00000000" w:rsidR="00000000" w:rsidRPr="00000000">
        <w:rPr>
          <w:b w:val="1"/>
          <w:bCs w:val="1"/>
          <w:rtl w:val="0"/>
        </w:rPr>
        <w:t xml:space="preserve"> </w:t>
      </w:r>
      <w:r w:rsidDel="00000000" w:rsidR="00000000" w:rsidRPr="00000000">
        <w:rPr>
          <w:b w:val="1"/>
          <w:bCs w:val="1"/>
        </w:rPr>
        <w:drawing>
          <wp:inline distB="0" distT="0" distL="0" distR="0">
            <wp:extent cx="5219700" cy="1800225"/>
            <wp:effectExtent b="0" l="0" r="0" t="0"/>
            <wp:docPr descr="trinity-common-use" id="1" name="image1.jpg"/>
            <a:graphic>
              <a:graphicData uri="http://schemas.openxmlformats.org/drawingml/2006/picture">
                <pic:pic>
                  <pic:nvPicPr>
                    <pic:cNvPr descr="trinity-common-use" id="0" name="image1.jpg"/>
                    <pic:cNvPicPr preferRelativeResize="0"/>
                  </pic:nvPicPr>
                  <pic:blipFill>
                    <a:blip r:embed="rId6"/>
                    <a:srcRect b="0" l="0" r="0" t="0"/>
                    <a:stretch>
                      <a:fillRect/>
                    </a:stretch>
                  </pic:blipFill>
                  <pic:spPr>
                    <a:xfrm>
                      <a:off x="0" y="0"/>
                      <a:ext cx="5219700" cy="18002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b w:val="1"/>
          <w:bCs w:val="1"/>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Trinity Business School</w:t>
      </w:r>
    </w:p>
    <w:p w:rsidR="00000000" w:rsidDel="00000000" w:rsidP="00000000" w:rsidRDefault="00000000" w:rsidRPr="00000000" w14:paraId="00000004">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pStyle w:val="Heading1"/>
        <w:jc w:val="center"/>
        <w:rPr>
          <w:rFonts w:ascii="Arial" w:cs="Arial" w:eastAsia="Arial" w:hAnsi="Arial"/>
        </w:rPr>
      </w:pPr>
      <w:r w:rsidDel="00000000" w:rsidR="00000000" w:rsidRPr="00000000">
        <w:rPr>
          <w:rFonts w:ascii="Arial" w:cs="Arial" w:eastAsia="Arial" w:hAnsi="Arial"/>
          <w:rtl w:val="0"/>
        </w:rPr>
        <w:t xml:space="preserve">Financial Markets and Institutions</w:t>
      </w:r>
    </w:p>
    <w:p w:rsidR="00000000" w:rsidDel="00000000" w:rsidP="00000000" w:rsidRDefault="00000000" w:rsidRPr="00000000" w14:paraId="00000006">
      <w:pPr>
        <w:pStyle w:val="Heading1"/>
        <w:jc w:val="center"/>
        <w:rPr>
          <w:rFonts w:ascii="Arial" w:cs="Arial" w:eastAsia="Arial" w:hAnsi="Arial"/>
        </w:rPr>
      </w:pPr>
      <w:r w:rsidDel="00000000" w:rsidR="00000000" w:rsidRPr="00000000">
        <w:rPr>
          <w:rFonts w:ascii="Arial" w:cs="Arial" w:eastAsia="Arial" w:hAnsi="Arial"/>
          <w:rtl w:val="0"/>
        </w:rPr>
        <w:t xml:space="preserve">2026/2027</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MODULE CODE: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BUU33760</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MODULE NAME: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Financial Markets and Institutions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ECTS: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5 ECTS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Lecturer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Dr Fang Yao </w:t>
        <w:tab/>
        <w:tab/>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E-mail: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fang.yao@centralbank.ie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Office Hours: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TBC</w:t>
      </w:r>
    </w:p>
    <w:p w:rsidR="00000000" w:rsidDel="00000000" w:rsidP="00000000" w:rsidRDefault="00000000" w:rsidRPr="00000000" w14:paraId="00000011">
      <w:pPr>
        <w:ind w:left="2127" w:hanging="2127"/>
        <w:rPr>
          <w:b w:val="1"/>
          <w:bCs w:val="1"/>
        </w:rPr>
      </w:pPr>
      <w:r w:rsidDel="00000000" w:rsidR="00000000" w:rsidRPr="00000000">
        <w:rPr>
          <w:rtl w:val="0"/>
        </w:rPr>
      </w:r>
    </w:p>
    <w:p w:rsidR="00000000" w:rsidDel="00000000" w:rsidP="00000000" w:rsidRDefault="00000000" w:rsidRPr="00000000" w14:paraId="00000012">
      <w:pPr>
        <w:ind w:left="2127" w:hanging="2127"/>
        <w:rPr/>
      </w:pPr>
      <w:r w:rsidDel="00000000" w:rsidR="00000000" w:rsidRPr="00000000">
        <w:rPr>
          <w:b w:val="1"/>
          <w:bCs w:val="1"/>
          <w:rtl w:val="0"/>
        </w:rPr>
        <w:t xml:space="preserve">Pre- Requisite: BUU22550 </w:t>
      </w:r>
      <w:r w:rsidDel="00000000" w:rsidR="00000000" w:rsidRPr="00000000">
        <w:rPr>
          <w:rtl w:val="0"/>
        </w:rPr>
        <w:t xml:space="preserve">Introduction to Finance</w:t>
      </w:r>
    </w:p>
    <w:p w:rsidR="00000000" w:rsidDel="00000000" w:rsidP="00000000" w:rsidRDefault="00000000" w:rsidRPr="00000000" w14:paraId="00000013">
      <w:pPr>
        <w:ind w:left="2127" w:hanging="2127"/>
        <w:rPr>
          <w:b w:val="1"/>
          <w:bCs w:val="1"/>
        </w:rPr>
      </w:pPr>
      <w:r w:rsidDel="00000000" w:rsidR="00000000" w:rsidRPr="00000000">
        <w:rPr>
          <w:rtl w:val="0"/>
        </w:rPr>
      </w:r>
    </w:p>
    <w:p w:rsidR="00000000" w:rsidDel="00000000" w:rsidP="00000000" w:rsidRDefault="00000000" w:rsidRPr="00000000" w14:paraId="00000014">
      <w:pPr>
        <w:ind w:left="2127" w:hanging="2127"/>
        <w:rPr/>
      </w:pPr>
      <w:r w:rsidDel="00000000" w:rsidR="00000000" w:rsidRPr="00000000">
        <w:rPr>
          <w:b w:val="1"/>
          <w:bCs w:val="1"/>
          <w:rtl w:val="0"/>
        </w:rPr>
        <w:t xml:space="preserve">Available to exchange Students:</w:t>
      </w:r>
      <w:r w:rsidDel="00000000" w:rsidR="00000000" w:rsidRPr="00000000">
        <w:rPr>
          <w:rtl w:val="0"/>
        </w:rPr>
        <w:t xml:space="preserve"> Yes</w:t>
      </w:r>
    </w:p>
    <w:p w:rsidR="00000000" w:rsidDel="00000000" w:rsidP="00000000" w:rsidRDefault="00000000" w:rsidRPr="00000000" w14:paraId="00000015">
      <w:pPr>
        <w:ind w:left="2127" w:hanging="2127"/>
        <w:rPr>
          <w:rFonts w:ascii="Arial" w:cs="Arial" w:eastAsia="Arial" w:hAnsi="Arial"/>
          <w:b w:val="1"/>
          <w:bCs w:val="1"/>
        </w:rPr>
      </w:pPr>
      <w:r w:rsidDel="00000000" w:rsidR="00000000" w:rsidRPr="00000000">
        <w:rPr>
          <w:rtl w:val="0"/>
        </w:rPr>
      </w:r>
    </w:p>
    <w:p w:rsidR="00000000" w:rsidDel="00000000" w:rsidP="00000000" w:rsidRDefault="00000000" w:rsidRPr="00000000" w14:paraId="00000016">
      <w:pPr>
        <w:pStyle w:val="Heading1"/>
        <w:rPr>
          <w:rFonts w:ascii="Arial" w:cs="Arial" w:eastAsia="Arial" w:hAnsi="Arial"/>
        </w:rPr>
      </w:pPr>
      <w:r w:rsidDel="00000000" w:rsidR="00000000" w:rsidRPr="00000000">
        <w:rPr>
          <w:rtl w:val="0"/>
        </w:rPr>
      </w:r>
    </w:p>
    <w:p w:rsidR="00000000" w:rsidDel="00000000" w:rsidP="00000000" w:rsidRDefault="00000000" w:rsidRPr="00000000" w14:paraId="00000017">
      <w:pPr>
        <w:pStyle w:val="Heading1"/>
        <w:rPr>
          <w:rFonts w:ascii="Arial" w:cs="Arial" w:eastAsia="Arial" w:hAnsi="Arial"/>
        </w:rPr>
      </w:pPr>
      <w:r w:rsidDel="00000000" w:rsidR="00000000" w:rsidRPr="00000000">
        <w:rPr>
          <w:rFonts w:ascii="Arial" w:cs="Arial" w:eastAsia="Arial" w:hAnsi="Arial"/>
          <w:rtl w:val="0"/>
        </w:rPr>
        <w:t xml:space="preserve">MODULE DESCRIPTION </w:t>
      </w:r>
    </w:p>
    <w:p w:rsidR="00000000" w:rsidDel="00000000" w:rsidP="00000000" w:rsidRDefault="00000000" w:rsidRPr="00000000" w14:paraId="00000018">
      <w:pPr>
        <w:jc w:val="both"/>
        <w:rPr/>
      </w:pPr>
      <w:r w:rsidDel="00000000" w:rsidR="00000000" w:rsidRPr="00000000">
        <w:rPr>
          <w:rtl w:val="0"/>
        </w:rPr>
        <w:t xml:space="preserve">This module primarily focuses on understanding financial and economic concepts relating to the characteristics in banking and financial markets. This module attempts to provide students with a comprehensive understanding of the functioning of financial markets and the crucial role that financial institutions play in the economy. Students will explore different types of financial markets, number of financial crises that have occurred in recent decades, their causes and impacts on the real economy. Finally, students will examine financial regulation and the regulatory changes that have been implemented to attempt to prevent future crises.</w:t>
      </w:r>
    </w:p>
    <w:p w:rsidR="00000000" w:rsidDel="00000000" w:rsidP="00000000" w:rsidRDefault="00000000" w:rsidRPr="00000000" w14:paraId="00000019">
      <w:pPr>
        <w:jc w:val="both"/>
        <w:rPr>
          <w:rFonts w:ascii="Arial" w:cs="Arial" w:eastAsia="Arial" w:hAnsi="Arial"/>
        </w:rPr>
      </w:pPr>
      <w:r w:rsidDel="00000000" w:rsidR="00000000" w:rsidRPr="00000000">
        <w:rPr>
          <w:rtl w:val="0"/>
        </w:rPr>
      </w:r>
    </w:p>
    <w:p w:rsidR="00000000" w:rsidDel="00000000" w:rsidP="00000000" w:rsidRDefault="00000000" w:rsidRPr="00000000" w14:paraId="0000001A">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1B">
      <w:pPr>
        <w:rPr>
          <w:rFonts w:ascii="Arial" w:cs="Arial" w:eastAsia="Arial" w:hAnsi="Arial"/>
          <w:b w:val="1"/>
          <w:bCs w:val="1"/>
        </w:rPr>
      </w:pPr>
      <w:r w:rsidDel="00000000" w:rsidR="00000000" w:rsidRPr="00000000">
        <w:rPr>
          <w:rFonts w:ascii="Arial" w:cs="Arial" w:eastAsia="Arial" w:hAnsi="Arial"/>
          <w:b w:val="1"/>
          <w:bCs w:val="1"/>
          <w:rtl w:val="0"/>
        </w:rPr>
        <w:t xml:space="preserve">LEARNING AND TEACHING APPROACH</w:t>
      </w:r>
    </w:p>
    <w:p w:rsidR="00000000" w:rsidDel="00000000" w:rsidP="00000000" w:rsidRDefault="00000000" w:rsidRPr="00000000" w14:paraId="0000001C">
      <w:pPr>
        <w:rPr/>
      </w:pPr>
      <w:r w:rsidDel="00000000" w:rsidR="00000000" w:rsidRPr="00000000">
        <w:rPr>
          <w:rtl w:val="0"/>
        </w:rPr>
        <w:t xml:space="preserve">This module is structured around a series of lectures and readings including research papers on emerging trends, as well as in-class discussions and group presentations.</w:t>
      </w:r>
    </w:p>
    <w:p w:rsidR="00000000" w:rsidDel="00000000" w:rsidP="00000000" w:rsidRDefault="00000000" w:rsidRPr="00000000" w14:paraId="0000001D">
      <w:pPr>
        <w:rPr>
          <w:highlight w:val="yellow"/>
        </w:rPr>
      </w:pPr>
      <w:r w:rsidDel="00000000" w:rsidR="00000000" w:rsidRPr="00000000">
        <w:rPr>
          <w:rtl w:val="0"/>
        </w:rPr>
      </w:r>
    </w:p>
    <w:p w:rsidR="00000000" w:rsidDel="00000000" w:rsidP="00000000" w:rsidRDefault="00000000" w:rsidRPr="00000000" w14:paraId="0000001E">
      <w:pPr>
        <w:pStyle w:val="Heading1"/>
        <w:rPr>
          <w:rFonts w:ascii="Arial" w:cs="Arial" w:eastAsia="Arial" w:hAnsi="Arial"/>
        </w:rPr>
      </w:pPr>
      <w:r w:rsidDel="00000000" w:rsidR="00000000" w:rsidRPr="00000000">
        <w:rPr>
          <w:rFonts w:ascii="Arial" w:cs="Arial" w:eastAsia="Arial" w:hAnsi="Arial"/>
          <w:rtl w:val="0"/>
        </w:rPr>
        <w:t xml:space="preserve">MODULE-LEVEL LEARNING OUTCOMES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Having completed this module, the student should be able to: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Understand the role of financial markets and institutions in the economy</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Examine the policies employed to mitigate financial risks and crisis</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Examine some of the financial crises that have occurred, their causes and effects</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Describe and evaluate the regulation that has been put in place to prevent future crises.</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Understand the role of central banks in financial stability and the health of financial systems.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0" w:before="0" w:line="240" w:lineRule="auto"/>
        <w:ind w:left="72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Arial" w:cs="Arial" w:eastAsia="Arial" w:hAnsi="Arial"/>
        </w:rPr>
      </w:pPr>
      <w:r w:rsidDel="00000000" w:rsidR="00000000" w:rsidRPr="00000000">
        <w:rPr>
          <w:rtl w:val="0"/>
        </w:rPr>
      </w:r>
    </w:p>
    <w:p w:rsidR="00000000" w:rsidDel="00000000" w:rsidP="00000000" w:rsidRDefault="00000000" w:rsidRPr="00000000" w14:paraId="00000029">
      <w:pPr>
        <w:jc w:val="both"/>
        <w:rPr>
          <w:rFonts w:ascii="Arial" w:cs="Arial" w:eastAsia="Arial" w:hAnsi="Arial"/>
          <w:b w:val="1"/>
          <w:bCs w:val="1"/>
        </w:rPr>
      </w:pPr>
      <w:r w:rsidDel="00000000" w:rsidR="00000000" w:rsidRPr="00000000">
        <w:rPr>
          <w:rFonts w:ascii="Arial" w:cs="Arial" w:eastAsia="Arial" w:hAnsi="Arial"/>
          <w:b w:val="1"/>
          <w:bCs w:val="1"/>
          <w:rtl w:val="0"/>
        </w:rPr>
        <w:t xml:space="preserve">RELATION TO DEGREE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pStyle w:val="Heading1"/>
        <w:rPr>
          <w:rFonts w:ascii="Arial" w:cs="Arial" w:eastAsia="Arial" w:hAnsi="Arial"/>
        </w:rPr>
      </w:pPr>
      <w:r w:rsidDel="00000000" w:rsidR="00000000" w:rsidRPr="00000000">
        <w:rPr>
          <w:rFonts w:ascii="Arial" w:cs="Arial" w:eastAsia="Arial" w:hAnsi="Arial"/>
          <w:rtl w:val="0"/>
        </w:rPr>
        <w:t xml:space="preserve">WORKLOAD</w:t>
      </w:r>
    </w:p>
    <w:tbl>
      <w:tblPr>
        <w:tblStyle w:val="Table1"/>
        <w:tblW w:w="85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70"/>
        <w:gridCol w:w="3455"/>
        <w:tblGridChange w:id="0">
          <w:tblGrid>
            <w:gridCol w:w="5070"/>
            <w:gridCol w:w="345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hd w:fill="bfbfbf" w:val="clear"/>
              <w:jc w:val="both"/>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Content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shd w:fill="bfbfbf" w:val="clear"/>
              <w:jc w:val="center"/>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Indicative Number of Hours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jc w:val="both"/>
              <w:rPr>
                <w:rFonts w:ascii="Arial" w:cs="Arial" w:eastAsia="Arial" w:hAnsi="Arial"/>
                <w:i w:val="1"/>
                <w:iCs w:val="1"/>
              </w:rPr>
            </w:pPr>
            <w:r w:rsidDel="00000000" w:rsidR="00000000" w:rsidRPr="00000000">
              <w:rPr>
                <w:rFonts w:ascii="Arial" w:cs="Arial" w:eastAsia="Arial" w:hAnsi="Arial"/>
                <w:i w:val="1"/>
                <w:iCs w:val="1"/>
                <w:rtl w:val="0"/>
              </w:rPr>
              <w:t xml:space="preserve">Lecturing hours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jc w:val="center"/>
              <w:rPr>
                <w:rFonts w:ascii="Arial" w:cs="Arial" w:eastAsia="Arial" w:hAnsi="Arial"/>
                <w:i w:val="1"/>
                <w:iCs w:val="1"/>
              </w:rPr>
            </w:pPr>
            <w:r w:rsidDel="00000000" w:rsidR="00000000" w:rsidRPr="00000000">
              <w:rPr>
                <w:rFonts w:ascii="Arial" w:cs="Arial" w:eastAsia="Arial" w:hAnsi="Arial"/>
                <w:i w:val="1"/>
                <w:iCs w:val="1"/>
                <w:rtl w:val="0"/>
              </w:rPr>
              <w:t xml:space="preserve">22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jc w:val="both"/>
              <w:rPr>
                <w:rFonts w:ascii="Arial" w:cs="Arial" w:eastAsia="Arial" w:hAnsi="Arial"/>
                <w:i w:val="1"/>
                <w:iCs w:val="1"/>
              </w:rPr>
            </w:pPr>
            <w:r w:rsidDel="00000000" w:rsidR="00000000" w:rsidRPr="00000000">
              <w:rPr>
                <w:rFonts w:ascii="Arial" w:cs="Arial" w:eastAsia="Arial" w:hAnsi="Arial"/>
                <w:i w:val="1"/>
                <w:iCs w:val="1"/>
                <w:rtl w:val="0"/>
              </w:rPr>
              <w:t xml:space="preserve">Preparation for lectures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jc w:val="center"/>
              <w:rPr>
                <w:rFonts w:ascii="Arial" w:cs="Arial" w:eastAsia="Arial" w:hAnsi="Arial"/>
                <w:i w:val="1"/>
                <w:iCs w:val="1"/>
              </w:rPr>
            </w:pPr>
            <w:r w:rsidDel="00000000" w:rsidR="00000000" w:rsidRPr="00000000">
              <w:rPr>
                <w:rFonts w:ascii="Arial" w:cs="Arial" w:eastAsia="Arial" w:hAnsi="Arial"/>
                <w:i w:val="1"/>
                <w:iCs w:val="1"/>
                <w:rtl w:val="0"/>
              </w:rPr>
              <w:t xml:space="preserve">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jc w:val="both"/>
              <w:rPr>
                <w:rFonts w:ascii="Arial" w:cs="Arial" w:eastAsia="Arial" w:hAnsi="Arial"/>
                <w:i w:val="1"/>
                <w:iCs w:val="1"/>
              </w:rPr>
            </w:pPr>
            <w:r w:rsidDel="00000000" w:rsidR="00000000" w:rsidRPr="00000000">
              <w:rPr>
                <w:rFonts w:ascii="Arial" w:cs="Arial" w:eastAsia="Arial" w:hAnsi="Arial"/>
                <w:i w:val="1"/>
                <w:iCs w:val="1"/>
                <w:rtl w:val="0"/>
              </w:rPr>
              <w:t xml:space="preserve">Individual assignment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jc w:val="center"/>
              <w:rPr>
                <w:rFonts w:ascii="Arial" w:cs="Arial" w:eastAsia="Arial" w:hAnsi="Arial"/>
                <w:i w:val="1"/>
                <w:iCs w:val="1"/>
              </w:rPr>
            </w:pPr>
            <w:r w:rsidDel="00000000" w:rsidR="00000000" w:rsidRPr="00000000">
              <w:rPr>
                <w:rFonts w:ascii="Arial" w:cs="Arial" w:eastAsia="Arial" w:hAnsi="Arial"/>
                <w:i w:val="1"/>
                <w:iCs w:val="1"/>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jc w:val="both"/>
              <w:rPr>
                <w:rFonts w:ascii="Arial" w:cs="Arial" w:eastAsia="Arial" w:hAnsi="Arial"/>
                <w:i w:val="1"/>
                <w:iCs w:val="1"/>
              </w:rPr>
            </w:pPr>
            <w:r w:rsidDel="00000000" w:rsidR="00000000" w:rsidRPr="00000000">
              <w:rPr>
                <w:rFonts w:ascii="Arial" w:cs="Arial" w:eastAsia="Arial" w:hAnsi="Arial"/>
                <w:i w:val="1"/>
                <w:iCs w:val="1"/>
                <w:rtl w:val="0"/>
              </w:rPr>
              <w:t xml:space="preserve">Group assignment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jc w:val="center"/>
              <w:rPr>
                <w:rFonts w:ascii="Arial" w:cs="Arial" w:eastAsia="Arial" w:hAnsi="Arial"/>
                <w:i w:val="1"/>
                <w:iCs w:val="1"/>
              </w:rPr>
            </w:pPr>
            <w:r w:rsidDel="00000000" w:rsidR="00000000" w:rsidRPr="00000000">
              <w:rPr>
                <w:rFonts w:ascii="Arial" w:cs="Arial" w:eastAsia="Arial" w:hAnsi="Arial"/>
                <w:i w:val="1"/>
                <w:iCs w:val="1"/>
                <w:rtl w:val="0"/>
              </w:rPr>
              <w:t xml:space="preserve">15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jc w:val="both"/>
              <w:rPr>
                <w:rFonts w:ascii="Arial" w:cs="Arial" w:eastAsia="Arial" w:hAnsi="Arial"/>
                <w:i w:val="1"/>
                <w:iCs w:val="1"/>
              </w:rPr>
            </w:pPr>
            <w:r w:rsidDel="00000000" w:rsidR="00000000" w:rsidRPr="00000000">
              <w:rPr>
                <w:rFonts w:ascii="Arial" w:cs="Arial" w:eastAsia="Arial" w:hAnsi="Arial"/>
                <w:i w:val="1"/>
                <w:iCs w:val="1"/>
                <w:rtl w:val="0"/>
              </w:rPr>
              <w:t xml:space="preserve">Reading of assigned materials and active reflection on lecture and course content and linkage to personal experiences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jc w:val="center"/>
              <w:rPr>
                <w:rFonts w:ascii="Arial" w:cs="Arial" w:eastAsia="Arial" w:hAnsi="Arial"/>
                <w:i w:val="1"/>
                <w:iCs w:val="1"/>
              </w:rPr>
            </w:pPr>
            <w:r w:rsidDel="00000000" w:rsidR="00000000" w:rsidRPr="00000000">
              <w:rPr>
                <w:rFonts w:ascii="Arial" w:cs="Arial" w:eastAsia="Arial" w:hAnsi="Arial"/>
                <w:i w:val="1"/>
                <w:iCs w:val="1"/>
                <w:rtl w:val="0"/>
              </w:rPr>
              <w:t xml:space="preserve">50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jc w:val="both"/>
              <w:rPr>
                <w:rFonts w:ascii="Arial" w:cs="Arial" w:eastAsia="Arial" w:hAnsi="Arial"/>
                <w:i w:val="1"/>
                <w:iCs w:val="1"/>
              </w:rPr>
            </w:pPr>
            <w:r w:rsidDel="00000000" w:rsidR="00000000" w:rsidRPr="00000000">
              <w:rPr>
                <w:rFonts w:ascii="Arial" w:cs="Arial" w:eastAsia="Arial" w:hAnsi="Arial"/>
                <w:i w:val="1"/>
                <w:iCs w:val="1"/>
                <w:rtl w:val="0"/>
              </w:rPr>
              <w:t xml:space="preserve">Final exam preparation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jc w:val="center"/>
              <w:rPr>
                <w:rFonts w:ascii="Arial" w:cs="Arial" w:eastAsia="Arial" w:hAnsi="Arial"/>
                <w:i w:val="1"/>
                <w:iCs w:val="1"/>
              </w:rPr>
            </w:pPr>
            <w:r w:rsidDel="00000000" w:rsidR="00000000" w:rsidRPr="00000000">
              <w:rPr>
                <w:rFonts w:ascii="Arial" w:cs="Arial" w:eastAsia="Arial" w:hAnsi="Arial"/>
                <w:i w:val="1"/>
                <w:iCs w:val="1"/>
                <w:rtl w:val="0"/>
              </w:rPr>
              <w:t xml:space="preserve">20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jc w:val="both"/>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Total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jc w:val="center"/>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125</w:t>
            </w:r>
          </w:p>
        </w:tc>
      </w:tr>
    </w:tbl>
    <w:p w:rsidR="00000000" w:rsidDel="00000000" w:rsidP="00000000" w:rsidRDefault="00000000" w:rsidRPr="00000000" w14:paraId="0000003D">
      <w:pPr>
        <w:rPr>
          <w:rFonts w:ascii="Arial" w:cs="Arial" w:eastAsia="Arial" w:hAnsi="Arial"/>
        </w:rPr>
      </w:pPr>
      <w:r w:rsidDel="00000000" w:rsidR="00000000" w:rsidRPr="00000000">
        <w:rPr>
          <w:rtl w:val="0"/>
        </w:rPr>
      </w:r>
    </w:p>
    <w:p w:rsidR="00000000" w:rsidDel="00000000" w:rsidP="00000000" w:rsidRDefault="00000000" w:rsidRPr="00000000" w14:paraId="0000003E">
      <w:pPr>
        <w:pStyle w:val="Heading1"/>
        <w:rPr>
          <w:rFonts w:ascii="Arial" w:cs="Arial" w:eastAsia="Arial" w:hAnsi="Arial"/>
        </w:rPr>
      </w:pPr>
      <w:r w:rsidDel="00000000" w:rsidR="00000000" w:rsidRPr="00000000">
        <w:rPr>
          <w:rFonts w:ascii="Arial" w:cs="Arial" w:eastAsia="Arial" w:hAnsi="Arial"/>
          <w:rtl w:val="0"/>
        </w:rPr>
        <w:t xml:space="preserve">TEXTBOOKS AND REQUIRED RESOURCES</w:t>
      </w:r>
    </w:p>
    <w:p w:rsidR="00000000" w:rsidDel="00000000" w:rsidP="00000000" w:rsidRDefault="00000000" w:rsidRPr="00000000" w14:paraId="0000003F">
      <w:pPr>
        <w:rPr/>
      </w:pPr>
      <w:r w:rsidDel="00000000" w:rsidR="00000000" w:rsidRPr="00000000">
        <w:rPr>
          <w:rtl w:val="0"/>
        </w:rPr>
      </w:r>
    </w:p>
    <w:bookmarkStart w:colFirst="0" w:colLast="0" w:name="kazxnxt7jwji" w:id="0"/>
    <w:bookmarkEnd w:id="0"/>
    <w:p w:rsidR="00000000" w:rsidDel="00000000" w:rsidP="00000000" w:rsidRDefault="00000000" w:rsidRPr="00000000" w14:paraId="00000040">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Required core course textbooks: </w:t>
      </w:r>
    </w:p>
    <w:p w:rsidR="00000000" w:rsidDel="00000000" w:rsidP="00000000" w:rsidRDefault="00000000" w:rsidRPr="00000000" w14:paraId="00000041">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42">
      <w:pPr>
        <w:spacing w:after="120" w:lineRule="auto"/>
        <w:rPr/>
      </w:pPr>
      <w:r w:rsidDel="00000000" w:rsidR="00000000" w:rsidRPr="00000000">
        <w:rPr>
          <w:rtl w:val="0"/>
        </w:rPr>
        <w:t xml:space="preserve">Mishkin, F.S. &amp; Eakins, S.G. (2023), Financial Markets and Institutions, (10</w:t>
      </w:r>
      <w:r w:rsidDel="00000000" w:rsidR="00000000" w:rsidRPr="00000000">
        <w:rPr>
          <w:vertAlign w:val="superscript"/>
          <w:rtl w:val="0"/>
        </w:rPr>
        <w:t xml:space="preserve">th</w:t>
      </w:r>
      <w:r w:rsidDel="00000000" w:rsidR="00000000" w:rsidRPr="00000000">
        <w:rPr>
          <w:rtl w:val="0"/>
        </w:rPr>
        <w:t xml:space="preserve"> ed.), Harlow: Pearson Education.</w:t>
      </w:r>
    </w:p>
    <w:p w:rsidR="00000000" w:rsidDel="00000000" w:rsidP="00000000" w:rsidRDefault="00000000" w:rsidRPr="00000000" w14:paraId="00000043">
      <w:pPr>
        <w:rPr/>
      </w:pPr>
      <w:r w:rsidDel="00000000" w:rsidR="00000000" w:rsidRPr="00000000">
        <w:rPr>
          <w:rtl w:val="0"/>
        </w:rPr>
        <w:t xml:space="preserve">De Haan, J., Schoenmaker, D., and Wierts, P. (2020), Financial Markets and Institutions: A European Perspective, (4</w:t>
      </w:r>
      <w:r w:rsidDel="00000000" w:rsidR="00000000" w:rsidRPr="00000000">
        <w:rPr>
          <w:vertAlign w:val="superscript"/>
          <w:rtl w:val="0"/>
        </w:rPr>
        <w:t xml:space="preserve">th</w:t>
      </w:r>
      <w:r w:rsidDel="00000000" w:rsidR="00000000" w:rsidRPr="00000000">
        <w:rPr>
          <w:rtl w:val="0"/>
        </w:rPr>
        <w:t xml:space="preserve"> ed.), Cambridge: Cambridge University Press.</w:t>
      </w:r>
    </w:p>
    <w:p w:rsidR="00000000" w:rsidDel="00000000" w:rsidP="00000000" w:rsidRDefault="00000000" w:rsidRPr="00000000" w14:paraId="00000044">
      <w:pPr>
        <w:pStyle w:val="Heading6"/>
        <w:tabs>
          <w:tab w:val="left" w:leader="none" w:pos="426"/>
        </w:tabs>
        <w:rPr>
          <w:rFonts w:ascii="Arial" w:cs="Arial" w:eastAsia="Arial" w:hAnsi="Arial"/>
          <w:i w:val="0"/>
          <w:iCs w:val="0"/>
          <w:sz w:val="22"/>
          <w:szCs w:val="22"/>
        </w:rPr>
      </w:pPr>
      <w:r w:rsidDel="00000000" w:rsidR="00000000" w:rsidRPr="00000000">
        <w:rPr>
          <w:rtl w:val="0"/>
        </w:rPr>
      </w:r>
    </w:p>
    <w:p w:rsidR="00000000" w:rsidDel="00000000" w:rsidP="00000000" w:rsidRDefault="00000000" w:rsidRPr="00000000" w14:paraId="00000045">
      <w:pPr>
        <w:pStyle w:val="Heading6"/>
        <w:tabs>
          <w:tab w:val="left" w:leader="none" w:pos="426"/>
        </w:tabs>
        <w:ind w:left="426" w:hanging="426"/>
        <w:rPr>
          <w:rFonts w:ascii="Arial" w:cs="Arial" w:eastAsia="Arial" w:hAnsi="Arial"/>
          <w:b w:val="1"/>
          <w:bCs w:val="1"/>
          <w:i w:val="0"/>
          <w:iCs w:val="0"/>
          <w:sz w:val="22"/>
          <w:szCs w:val="22"/>
        </w:rPr>
      </w:pPr>
      <w:r w:rsidDel="00000000" w:rsidR="00000000" w:rsidRPr="00000000">
        <w:rPr>
          <w:rFonts w:ascii="Arial" w:cs="Arial" w:eastAsia="Arial" w:hAnsi="Arial"/>
          <w:b w:val="1"/>
          <w:bCs w:val="1"/>
          <w:i w:val="0"/>
          <w:iCs w:val="0"/>
          <w:sz w:val="22"/>
          <w:szCs w:val="22"/>
          <w:rtl w:val="0"/>
        </w:rPr>
        <w:t xml:space="preserve">General Supplemental Readings</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Readings will be assigned throughout the course and will be posted on Blackboard.</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b w:val="1"/>
          <w:bCs w:val="1"/>
        </w:rPr>
      </w:pPr>
      <w:r w:rsidDel="00000000" w:rsidR="00000000" w:rsidRPr="00000000">
        <w:rPr>
          <w:rtl w:val="0"/>
        </w:rPr>
      </w:r>
    </w:p>
    <w:p w:rsidR="00000000" w:rsidDel="00000000" w:rsidP="00000000" w:rsidRDefault="00000000" w:rsidRPr="00000000" w14:paraId="0000004C">
      <w:pPr>
        <w:rPr>
          <w:rFonts w:ascii="Arial" w:cs="Arial" w:eastAsia="Arial" w:hAnsi="Arial"/>
          <w:b w:val="1"/>
          <w:bCs w:val="1"/>
          <w:sz w:val="22"/>
          <w:szCs w:val="22"/>
          <w:u w:val="single"/>
        </w:rPr>
      </w:pPr>
      <w:r w:rsidDel="00000000" w:rsidR="00000000" w:rsidRPr="00000000">
        <w:rPr>
          <w:rtl w:val="0"/>
        </w:rPr>
      </w:r>
    </w:p>
    <w:p w:rsidR="00000000" w:rsidDel="00000000" w:rsidP="00000000" w:rsidRDefault="00000000" w:rsidRPr="00000000" w14:paraId="0000004D">
      <w:pPr>
        <w:pStyle w:val="Heading1"/>
        <w:rPr>
          <w:rFonts w:ascii="Arial" w:cs="Arial" w:eastAsia="Arial" w:hAnsi="Arial"/>
        </w:rPr>
      </w:pPr>
      <w:r w:rsidDel="00000000" w:rsidR="00000000" w:rsidRPr="00000000">
        <w:rPr>
          <w:rFonts w:ascii="Arial" w:cs="Arial" w:eastAsia="Arial" w:hAnsi="Arial"/>
          <w:rtl w:val="0"/>
        </w:rPr>
        <w:t xml:space="preserve">Student preparation for the module</w:t>
      </w:r>
    </w:p>
    <w:p w:rsidR="00000000" w:rsidDel="00000000" w:rsidP="00000000" w:rsidRDefault="00000000" w:rsidRPr="00000000" w14:paraId="0000004E">
      <w:pPr>
        <w:rPr/>
      </w:pPr>
      <w:r w:rsidDel="00000000" w:rsidR="00000000" w:rsidRPr="00000000">
        <w:rPr>
          <w:rtl w:val="0"/>
        </w:rPr>
        <w:t xml:space="preserve">Students are advised to read recommended articles in advance of each part of the course.  They will also be expected to contribute to class discussions and participate in class assignments.</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rFonts w:ascii="Arial" w:cs="Arial" w:eastAsia="Arial" w:hAnsi="Arial"/>
          <w:b w:val="1"/>
          <w:bCs w:val="1"/>
          <w:smallCaps w:val="1"/>
        </w:rPr>
      </w:pPr>
      <w:r w:rsidDel="00000000" w:rsidR="00000000" w:rsidRPr="00000000">
        <w:rPr>
          <w:rtl w:val="0"/>
        </w:rPr>
      </w:r>
    </w:p>
    <w:p w:rsidR="00000000" w:rsidDel="00000000" w:rsidP="00000000" w:rsidRDefault="00000000" w:rsidRPr="00000000" w14:paraId="00000051">
      <w:pPr>
        <w:rPr>
          <w:rFonts w:ascii="Arial" w:cs="Arial" w:eastAsia="Arial" w:hAnsi="Arial"/>
          <w:b w:val="1"/>
          <w:bCs w:val="1"/>
          <w:smallCaps w:val="1"/>
        </w:rPr>
      </w:pPr>
      <w:r w:rsidDel="00000000" w:rsidR="00000000" w:rsidRPr="00000000">
        <w:rPr>
          <w:rFonts w:ascii="Arial" w:cs="Arial" w:eastAsia="Arial" w:hAnsi="Arial"/>
          <w:b w:val="1"/>
          <w:bCs w:val="1"/>
          <w:smallCaps w:val="1"/>
          <w:rtl w:val="0"/>
        </w:rPr>
        <w:t xml:space="preserve">COURSE COMMUNICATION </w:t>
      </w:r>
    </w:p>
    <w:p w:rsidR="00000000" w:rsidDel="00000000" w:rsidP="00000000" w:rsidRDefault="00000000" w:rsidRPr="00000000" w14:paraId="00000052">
      <w:pPr>
        <w:rPr>
          <w:rFonts w:ascii="Arial" w:cs="Arial" w:eastAsia="Arial" w:hAnsi="Arial"/>
          <w:b w:val="1"/>
          <w:bCs w:val="1"/>
          <w:smallCaps w:val="1"/>
        </w:rPr>
      </w:pPr>
      <w:r w:rsidDel="00000000" w:rsidR="00000000" w:rsidRPr="00000000">
        <w:rPr>
          <w:rtl w:val="0"/>
        </w:rPr>
        <w:t xml:space="preserve">Lecture slides and readings, assignment descriptions and announcements will be posted on Blackboard.</w:t>
      </w:r>
      <w:r w:rsidDel="00000000" w:rsidR="00000000" w:rsidRPr="00000000">
        <w:rPr>
          <w:rtl w:val="0"/>
        </w:rPr>
      </w:r>
    </w:p>
    <w:p w:rsidR="00000000" w:rsidDel="00000000" w:rsidP="00000000" w:rsidRDefault="00000000" w:rsidRPr="00000000" w14:paraId="00000053">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4">
      <w:pPr>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 xml:space="preserve">Please note that all course related email communication </w:t>
      </w:r>
      <w:r w:rsidDel="00000000" w:rsidR="00000000" w:rsidRPr="00000000">
        <w:rPr>
          <w:rFonts w:ascii="Arial" w:cs="Arial" w:eastAsia="Arial" w:hAnsi="Arial"/>
          <w:b w:val="1"/>
          <w:bCs w:val="1"/>
          <w:i w:val="1"/>
          <w:iCs w:val="1"/>
          <w:sz w:val="22"/>
          <w:szCs w:val="22"/>
          <w:u w:val="single"/>
          <w:rtl w:val="0"/>
        </w:rPr>
        <w:t xml:space="preserve">must</w:t>
      </w:r>
      <w:r w:rsidDel="00000000" w:rsidR="00000000" w:rsidRPr="00000000">
        <w:rPr>
          <w:rFonts w:ascii="Arial" w:cs="Arial" w:eastAsia="Arial" w:hAnsi="Arial"/>
          <w:b w:val="1"/>
          <w:bCs w:val="1"/>
          <w:i w:val="1"/>
          <w:iCs w:val="1"/>
          <w:sz w:val="22"/>
          <w:szCs w:val="22"/>
          <w:rtl w:val="0"/>
        </w:rPr>
        <w:t xml:space="preserve"> be sent from your official TCD email address. Emails sent from other addresses will not be attended to.</w:t>
      </w:r>
    </w:p>
    <w:p w:rsidR="00000000" w:rsidDel="00000000" w:rsidP="00000000" w:rsidRDefault="00000000" w:rsidRPr="00000000" w14:paraId="00000055">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56">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57">
      <w:pPr>
        <w:rPr>
          <w:rFonts w:ascii="Arial" w:cs="Arial" w:eastAsia="Arial" w:hAnsi="Arial"/>
          <w:i w:val="1"/>
          <w:iCs w:val="1"/>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ASSESSMENT</w:t>
      </w:r>
    </w:p>
    <w:p w:rsidR="00000000" w:rsidDel="00000000" w:rsidP="00000000" w:rsidRDefault="00000000" w:rsidRPr="00000000" w14:paraId="00000059">
      <w:pPr>
        <w:rPr/>
      </w:pPr>
      <w:r w:rsidDel="00000000" w:rsidR="00000000" w:rsidRPr="00000000">
        <w:rPr>
          <w:rtl w:val="0"/>
        </w:rPr>
        <w:t xml:space="preserve">The assessment for this course is split between continuous assessment and final exam. The breakdown is as follows:</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Continuous assessment: 30%</w:t>
      </w:r>
    </w:p>
    <w:p w:rsidR="00000000" w:rsidDel="00000000" w:rsidP="00000000" w:rsidRDefault="00000000" w:rsidRPr="00000000" w14:paraId="0000005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Group project presentation (15%) Some important criteria considered when grading projects include: (1) creativity (2) originality and (3) engagement</w:t>
      </w:r>
    </w:p>
    <w:p w:rsidR="00000000" w:rsidDel="00000000" w:rsidP="00000000" w:rsidRDefault="00000000" w:rsidRPr="00000000" w14:paraId="0000005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Individual report on group project (15%) Some important criteria considered when grading projects include: (1) originality (2) application of class materials (3) relevance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Final exam: 70%</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pStyle w:val="Title"/>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who fail the module will need to submit a supplemental final assessment.  The supplemental assessment will count for 100% of the grade.</w:t>
      </w:r>
    </w:p>
    <w:p w:rsidR="00000000" w:rsidDel="00000000" w:rsidP="00000000" w:rsidRDefault="00000000" w:rsidRPr="00000000" w14:paraId="00000062">
      <w:pPr>
        <w:pStyle w:val="Title"/>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pStyle w:val="Title"/>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Attendance at lectures and tutorials is required, any student who attends less than two thirds of lectures and tutorials may be deemed non-satisfactory as per college regulations and may not be allowed to sit the final exam.  </w:t>
      </w:r>
    </w:p>
    <w:p w:rsidR="00000000" w:rsidDel="00000000" w:rsidP="00000000" w:rsidRDefault="00000000" w:rsidRPr="00000000" w14:paraId="00000064">
      <w:pPr>
        <w:pStyle w:val="Title"/>
        <w:jc w:val="both"/>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0000ff"/>
            <w:sz w:val="24"/>
            <w:szCs w:val="24"/>
            <w:u w:val="single"/>
            <w:rtl w:val="0"/>
          </w:rPr>
          <w:t xml:space="preserve">https://www.tcd.ie/undergraduate-studies/academic-progress/attendance-course-work.php</w:t>
        </w:r>
      </w:hyperlink>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PLAGIARISM</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Please note the plagiarism provisions in the General Regulations of the University Calendar for the current year, and make sure you have completed the Online Tutorial on avoiding plagiarism 'Ready, Steady, Write', located at </w:t>
      </w:r>
      <w:hyperlink r:id="rId8">
        <w:r w:rsidDel="00000000" w:rsidR="00000000" w:rsidRPr="00000000">
          <w:rPr>
            <w:color w:val="0000ff"/>
            <w:u w:val="single"/>
            <w:rtl w:val="0"/>
          </w:rPr>
          <w:t xml:space="preserve">https://libguides.tcd.ie/academic-integrity/ready-steady-write</w:t>
        </w:r>
      </w:hyperlink>
      <w:r w:rsidDel="00000000" w:rsidR="00000000" w:rsidRPr="00000000">
        <w:rPr>
          <w:rtl w:val="0"/>
        </w:rPr>
        <w:t xml:space="preserve"> </w:t>
      </w:r>
    </w:p>
    <w:p w:rsidR="00000000" w:rsidDel="00000000" w:rsidP="00000000" w:rsidRDefault="00000000" w:rsidRPr="00000000" w14:paraId="00000069">
      <w:pPr>
        <w:rPr/>
      </w:pPr>
      <w:r w:rsidDel="00000000" w:rsidR="00000000" w:rsidRPr="00000000">
        <w:rPr>
          <w:rtl w:val="0"/>
        </w:rPr>
        <w:t xml:space="preserve"> </w:t>
      </w:r>
    </w:p>
    <w:p w:rsidR="00000000" w:rsidDel="00000000" w:rsidP="00000000" w:rsidRDefault="00000000" w:rsidRPr="00000000" w14:paraId="0000006A">
      <w:pPr>
        <w:rPr>
          <w:i w:val="1"/>
          <w:iCs w:val="1"/>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POLICY ON THE USE OF GENERATIVE AI TOOLS</w:t>
      </w:r>
    </w:p>
    <w:p w:rsidR="00000000" w:rsidDel="00000000" w:rsidP="00000000" w:rsidRDefault="00000000" w:rsidRPr="00000000" w14:paraId="0000006C">
      <w:pPr>
        <w:rPr>
          <w:i w:val="1"/>
          <w:iCs w:val="1"/>
        </w:rPr>
      </w:pPr>
      <w:r w:rsidDel="00000000" w:rsidR="00000000" w:rsidRPr="00000000">
        <w:rPr>
          <w:i w:val="1"/>
          <w:iCs w:val="1"/>
          <w:rtl w:val="0"/>
        </w:rPr>
        <w:t xml:space="preserve">Note: due to the assessment format, this policy used within the wider Trinity Business School is flagged, but unlikely to be relevant for this module. </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The module leader may grant the use of generative AI tools for an assessment. If AI is permitted the following generative AI declaration must be included  </w:t>
      </w:r>
    </w:p>
    <w:p w:rsidR="00000000" w:rsidDel="00000000" w:rsidP="00000000" w:rsidRDefault="00000000" w:rsidRPr="00000000" w14:paraId="0000006F">
      <w:pPr>
        <w:rPr>
          <w:b w:val="1"/>
          <w:bCs w:val="1"/>
        </w:rPr>
      </w:pPr>
      <w:r w:rsidDel="00000000" w:rsidR="00000000" w:rsidRPr="00000000">
        <w:rPr>
          <w:b w:val="1"/>
          <w:bCs w:val="1"/>
          <w:rtl w:val="0"/>
        </w:rPr>
        <w:t xml:space="preserve">Generative AI Declaration </w:t>
      </w:r>
    </w:p>
    <w:p w:rsidR="00000000" w:rsidDel="00000000" w:rsidP="00000000" w:rsidRDefault="00000000" w:rsidRPr="00000000" w14:paraId="00000070">
      <w:pPr>
        <w:rPr/>
      </w:pPr>
      <w:r w:rsidDel="00000000" w:rsidR="00000000" w:rsidRPr="00000000">
        <w:rPr>
          <w:rtl w:val="0"/>
        </w:rPr>
        <w:t xml:space="preserve">Please choose A or B with regards to your use of generative AI tools in this project:</w:t>
      </w:r>
    </w:p>
    <w:p w:rsidR="00000000" w:rsidDel="00000000" w:rsidP="00000000" w:rsidRDefault="00000000" w:rsidRPr="00000000" w14:paraId="00000071">
      <w:pPr>
        <w:rPr/>
      </w:pPr>
      <w:r w:rsidDel="00000000" w:rsidR="00000000" w:rsidRPr="00000000">
        <w:rPr>
          <w:rtl w:val="0"/>
        </w:rPr>
        <w:t xml:space="preserve">•            A. Nothing to declare. I did not use generative AI software. </w:t>
      </w:r>
    </w:p>
    <w:p w:rsidR="00000000" w:rsidDel="00000000" w:rsidP="00000000" w:rsidRDefault="00000000" w:rsidRPr="00000000" w14:paraId="00000072">
      <w:pPr>
        <w:rPr/>
      </w:pPr>
      <w:r w:rsidDel="00000000" w:rsidR="00000000" w:rsidRPr="00000000">
        <w:rPr>
          <w:rtl w:val="0"/>
        </w:rPr>
        <w:t xml:space="preserve">•            B. I used generative AI software. </w:t>
      </w:r>
    </w:p>
    <w:p w:rsidR="00000000" w:rsidDel="00000000" w:rsidP="00000000" w:rsidRDefault="00000000" w:rsidRPr="00000000" w14:paraId="00000073">
      <w:pPr>
        <w:rPr/>
      </w:pPr>
      <w:r w:rsidDel="00000000" w:rsidR="00000000" w:rsidRPr="00000000">
        <w:rPr>
          <w:rtl w:val="0"/>
        </w:rPr>
        <w:t xml:space="preserve">If you answer A and the module leader finds evidence that you used AI software, this behaviour will be considered as unethical, the assignment will be failed, and you will be penalized accordingly with reference to the TCD policy on academic misconduct. If you answer B, please clearly explain for which parts of submission you used AI software and how it helped you to improve your learning process within ethical guidelines. You should include your answer – 300 to 600 words approx.- in the appendix.</w:t>
      </w:r>
    </w:p>
    <w:p w:rsidR="00000000" w:rsidDel="00000000" w:rsidP="00000000" w:rsidRDefault="00000000" w:rsidRPr="00000000" w14:paraId="00000074">
      <w:pPr>
        <w:rPr/>
      </w:pPr>
      <w:r w:rsidDel="00000000" w:rsidR="00000000" w:rsidRPr="00000000">
        <w:rPr>
          <w:rtl w:val="0"/>
        </w:rPr>
        <w:t xml:space="preserve">If the module leader has any concerns about the validity of any work undertaken by a student either before or after assessment submission, they may request any of the following three things. </w:t>
      </w:r>
    </w:p>
    <w:p w:rsidR="00000000" w:rsidDel="00000000" w:rsidP="00000000" w:rsidRDefault="00000000" w:rsidRPr="00000000" w14:paraId="00000075">
      <w:pPr>
        <w:numPr>
          <w:ilvl w:val="1"/>
          <w:numId w:val="7"/>
        </w:numPr>
        <w:ind w:left="360" w:hanging="360"/>
        <w:rPr/>
      </w:pPr>
      <w:r w:rsidDel="00000000" w:rsidR="00000000" w:rsidRPr="00000000">
        <w:rPr>
          <w:rtl w:val="0"/>
        </w:rPr>
        <w:t xml:space="preserve">Using Gibb’s (1988) reflective model, students may be asked to write a reflective piece on their learning of between 1000 to 2000 words.</w:t>
      </w:r>
    </w:p>
    <w:p w:rsidR="00000000" w:rsidDel="00000000" w:rsidP="00000000" w:rsidRDefault="00000000" w:rsidRPr="00000000" w14:paraId="00000076">
      <w:pPr>
        <w:numPr>
          <w:ilvl w:val="1"/>
          <w:numId w:val="7"/>
        </w:numPr>
        <w:ind w:left="360" w:hanging="360"/>
        <w:rPr/>
      </w:pPr>
      <w:r w:rsidDel="00000000" w:rsidR="00000000" w:rsidRPr="00000000">
        <w:rPr>
          <w:rtl w:val="0"/>
        </w:rPr>
        <w:t xml:space="preserve">A student may be asked to submit a 10-minute video presentation of their assessment.</w:t>
      </w:r>
    </w:p>
    <w:p w:rsidR="00000000" w:rsidDel="00000000" w:rsidP="00000000" w:rsidRDefault="00000000" w:rsidRPr="00000000" w14:paraId="00000077">
      <w:pPr>
        <w:numPr>
          <w:ilvl w:val="1"/>
          <w:numId w:val="7"/>
        </w:numPr>
        <w:ind w:left="360" w:hanging="360"/>
        <w:rPr/>
      </w:pPr>
      <w:r w:rsidDel="00000000" w:rsidR="00000000" w:rsidRPr="00000000">
        <w:rPr>
          <w:rtl w:val="0"/>
        </w:rPr>
        <w:t xml:space="preserve">A student may be asked to engage in a 10-minute Q&amp;A about their assessment over zoom or in person.</w:t>
      </w:r>
    </w:p>
    <w:p w:rsidR="00000000" w:rsidDel="00000000" w:rsidP="00000000" w:rsidRDefault="00000000" w:rsidRPr="00000000" w14:paraId="00000078">
      <w:pPr>
        <w:rPr/>
      </w:pPr>
      <w:r w:rsidDel="00000000" w:rsidR="00000000" w:rsidRPr="00000000">
        <w:rPr>
          <w:rtl w:val="0"/>
        </w:rPr>
        <w:t xml:space="preserve">If the module leader finds evidence for undeclared use of ChatGPT or other AI software, this behaviour will be considered as unethical, the assignment will be failed, and the student/s will be penalized accordingly with reference to the TCD policy on academic misconduct.</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7D">
      <w:pPr>
        <w:rPr>
          <w:rFonts w:ascii="Arial" w:cs="Arial" w:eastAsia="Arial" w:hAnsi="Arial"/>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color="000000" w:space="1" w:sz="8" w:val="single"/>
          <w:left w:color="000000" w:space="4" w:sz="4" w:val="single"/>
          <w:bottom w:color="000000" w:space="1" w:sz="8" w:val="single"/>
          <w:right w:color="000000" w:space="4" w:sz="4" w:val="single"/>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MODULE SCHEDULE</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102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01"/>
        <w:tblGridChange w:id="0">
          <w:tblGrid>
            <w:gridCol w:w="1020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Term</w:t>
            </w:r>
          </w:p>
        </w:tc>
      </w:tr>
    </w:tbl>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bl>
      <w:tblPr>
        <w:tblStyle w:val="Table3"/>
        <w:tblW w:w="103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1984"/>
        <w:gridCol w:w="1560"/>
        <w:gridCol w:w="5786"/>
        <w:tblGridChange w:id="0">
          <w:tblGrid>
            <w:gridCol w:w="988"/>
            <w:gridCol w:w="1984"/>
            <w:gridCol w:w="1560"/>
            <w:gridCol w:w="57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pStyle w:val="Heading5"/>
              <w:jc w:val="center"/>
              <w:rPr>
                <w:rFonts w:ascii="Arial" w:cs="Arial" w:eastAsia="Arial" w:hAnsi="Arial"/>
                <w:b w:val="1"/>
                <w:bCs w:val="1"/>
                <w:i w:val="0"/>
                <w:iCs w:val="0"/>
                <w:sz w:val="20"/>
                <w:szCs w:val="20"/>
              </w:rPr>
            </w:pPr>
            <w:r w:rsidDel="00000000" w:rsidR="00000000" w:rsidRPr="00000000">
              <w:rPr>
                <w:rFonts w:ascii="Arial" w:cs="Arial" w:eastAsia="Arial" w:hAnsi="Arial"/>
                <w:b w:val="1"/>
                <w:bCs w:val="1"/>
                <w:i w:val="0"/>
                <w:iCs w:val="0"/>
                <w:sz w:val="20"/>
                <w:szCs w:val="20"/>
                <w:rtl w:val="0"/>
              </w:rPr>
              <w:t xml:space="preserve">Session</w:t>
            </w:r>
          </w:p>
        </w:tc>
        <w:tc>
          <w:tcPr/>
          <w:p w:rsidR="00000000" w:rsidDel="00000000" w:rsidP="00000000" w:rsidRDefault="00000000" w:rsidRPr="00000000" w14:paraId="00000084">
            <w:pPr>
              <w:pStyle w:val="Heading5"/>
              <w:jc w:val="center"/>
              <w:rPr>
                <w:rFonts w:ascii="Arial" w:cs="Arial" w:eastAsia="Arial" w:hAnsi="Arial"/>
                <w:b w:val="1"/>
                <w:bCs w:val="1"/>
                <w:i w:val="0"/>
                <w:iCs w:val="0"/>
                <w:sz w:val="20"/>
                <w:szCs w:val="20"/>
              </w:rPr>
            </w:pPr>
            <w:r w:rsidDel="00000000" w:rsidR="00000000" w:rsidRPr="00000000">
              <w:rPr>
                <w:rFonts w:ascii="Arial" w:cs="Arial" w:eastAsia="Arial" w:hAnsi="Arial"/>
                <w:b w:val="1"/>
                <w:bCs w:val="1"/>
                <w:i w:val="0"/>
                <w:iCs w:val="0"/>
                <w:sz w:val="20"/>
                <w:szCs w:val="20"/>
                <w:rtl w:val="0"/>
              </w:rPr>
              <w:t xml:space="preserve">Date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pStyle w:val="Heading5"/>
              <w:jc w:val="center"/>
              <w:rPr>
                <w:rFonts w:ascii="Arial" w:cs="Arial" w:eastAsia="Arial" w:hAnsi="Arial"/>
                <w:b w:val="1"/>
                <w:bCs w:val="1"/>
                <w:i w:val="0"/>
                <w:iCs w:val="0"/>
                <w:sz w:val="20"/>
                <w:szCs w:val="20"/>
              </w:rPr>
            </w:pPr>
            <w:r w:rsidDel="00000000" w:rsidR="00000000" w:rsidRPr="00000000">
              <w:rPr>
                <w:rFonts w:ascii="Arial" w:cs="Arial" w:eastAsia="Arial" w:hAnsi="Arial"/>
                <w:b w:val="1"/>
                <w:bCs w:val="1"/>
                <w:i w:val="0"/>
                <w:iCs w:val="0"/>
                <w:sz w:val="20"/>
                <w:szCs w:val="20"/>
                <w:rtl w:val="0"/>
              </w:rPr>
              <w:t xml:space="preserve">Topic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pStyle w:val="Heading2"/>
              <w:rPr>
                <w:rFonts w:ascii="Arial" w:cs="Arial" w:eastAsia="Arial" w:hAnsi="Arial"/>
              </w:rPr>
            </w:pPr>
            <w:r w:rsidDel="00000000" w:rsidR="00000000" w:rsidRPr="00000000">
              <w:rPr>
                <w:rFonts w:ascii="Arial" w:cs="Arial" w:eastAsia="Arial" w:hAnsi="Arial"/>
                <w:rtl w:val="0"/>
              </w:rPr>
              <w:t xml:space="preserve">Lecture &amp; readings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7">
            <w:pPr>
              <w:jc w:val="center"/>
              <w:rPr/>
            </w:pPr>
            <w:r w:rsidDel="00000000" w:rsidR="00000000" w:rsidRPr="00000000">
              <w:rPr>
                <w:rtl w:val="0"/>
              </w:rPr>
            </w:r>
          </w:p>
          <w:p w:rsidR="00000000" w:rsidDel="00000000" w:rsidP="00000000" w:rsidRDefault="00000000" w:rsidRPr="00000000" w14:paraId="00000088">
            <w:pPr>
              <w:jc w:val="center"/>
              <w:rPr/>
            </w:pPr>
            <w:r w:rsidDel="00000000" w:rsidR="00000000" w:rsidRPr="00000000">
              <w:rPr>
                <w:rtl w:val="0"/>
              </w:rPr>
            </w:r>
          </w:p>
          <w:p w:rsidR="00000000" w:rsidDel="00000000" w:rsidP="00000000" w:rsidRDefault="00000000" w:rsidRPr="00000000" w14:paraId="00000089">
            <w:pPr>
              <w:jc w:val="center"/>
              <w:rPr/>
            </w:pPr>
            <w:r w:rsidDel="00000000" w:rsidR="00000000" w:rsidRPr="00000000">
              <w:rPr>
                <w:rtl w:val="0"/>
              </w:rPr>
              <w:t xml:space="preserve">1</w:t>
            </w:r>
          </w:p>
          <w:p w:rsidR="00000000" w:rsidDel="00000000" w:rsidP="00000000" w:rsidRDefault="00000000" w:rsidRPr="00000000" w14:paraId="0000008A">
            <w:pPr>
              <w:jc w:val="center"/>
              <w:rPr/>
            </w:pPr>
            <w:r w:rsidDel="00000000" w:rsidR="00000000" w:rsidRPr="00000000">
              <w:rPr>
                <w:rtl w:val="0"/>
              </w:rPr>
            </w:r>
          </w:p>
        </w:tc>
        <w:tc>
          <w:tcPr/>
          <w:p w:rsidR="00000000" w:rsidDel="00000000" w:rsidP="00000000" w:rsidRDefault="00000000" w:rsidRPr="00000000" w14:paraId="0000008B">
            <w:pPr>
              <w:ind w:right="284"/>
              <w:jc w:val="center"/>
              <w:rPr/>
            </w:pPr>
            <w:r w:rsidDel="00000000" w:rsidR="00000000" w:rsidRPr="00000000">
              <w:rPr>
                <w:rtl w:val="0"/>
              </w:rPr>
            </w:r>
          </w:p>
          <w:p w:rsidR="00000000" w:rsidDel="00000000" w:rsidP="00000000" w:rsidRDefault="00000000" w:rsidRPr="00000000" w14:paraId="0000008C">
            <w:pPr>
              <w:ind w:right="284"/>
              <w:jc w:val="center"/>
              <w:rPr/>
            </w:pPr>
            <w:r w:rsidDel="00000000" w:rsidR="00000000" w:rsidRPr="00000000">
              <w:rPr>
                <w:rtl w:val="0"/>
              </w:rPr>
            </w:r>
          </w:p>
          <w:p w:rsidR="00000000" w:rsidDel="00000000" w:rsidP="00000000" w:rsidRDefault="00000000" w:rsidRPr="00000000" w14:paraId="0000008D">
            <w:pPr>
              <w:ind w:right="284"/>
              <w:jc w:val="center"/>
              <w:rPr/>
            </w:pPr>
            <w:r w:rsidDel="00000000" w:rsidR="00000000" w:rsidRPr="00000000">
              <w:rPr>
                <w:rtl w:val="0"/>
              </w:rPr>
            </w:r>
          </w:p>
          <w:p w:rsidR="00000000" w:rsidDel="00000000" w:rsidP="00000000" w:rsidRDefault="00000000" w:rsidRPr="00000000" w14:paraId="0000008E">
            <w:pPr>
              <w:ind w:right="284"/>
              <w:jc w:val="center"/>
              <w:rPr/>
            </w:pPr>
            <w:r w:rsidDel="00000000" w:rsidR="00000000" w:rsidRPr="00000000">
              <w:rPr>
                <w:rtl w:val="0"/>
              </w:rPr>
            </w:r>
          </w:p>
          <w:p w:rsidR="00000000" w:rsidDel="00000000" w:rsidP="00000000" w:rsidRDefault="00000000" w:rsidRPr="00000000" w14:paraId="0000008F">
            <w:pPr>
              <w:ind w:right="284"/>
              <w:jc w:val="center"/>
              <w:rPr/>
            </w:pPr>
            <w:r w:rsidDel="00000000" w:rsidR="00000000" w:rsidRPr="00000000">
              <w:rPr>
                <w:rtl w:val="0"/>
              </w:rPr>
            </w:r>
          </w:p>
          <w:p w:rsidR="00000000" w:rsidDel="00000000" w:rsidP="00000000" w:rsidRDefault="00000000" w:rsidRPr="00000000" w14:paraId="00000090">
            <w:pPr>
              <w:ind w:right="284"/>
              <w:jc w:val="center"/>
              <w:rPr/>
            </w:pPr>
            <w:r w:rsidDel="00000000" w:rsidR="00000000" w:rsidRPr="00000000">
              <w:rPr>
                <w:rtl w:val="0"/>
              </w:rPr>
              <w:t xml:space="preserve">18</w:t>
            </w:r>
            <w:r w:rsidDel="00000000" w:rsidR="00000000" w:rsidRPr="00000000">
              <w:rPr>
                <w:vertAlign w:val="superscript"/>
                <w:rtl w:val="0"/>
              </w:rPr>
              <w:t xml:space="preserve">th</w:t>
            </w:r>
            <w:r w:rsidDel="00000000" w:rsidR="00000000" w:rsidRPr="00000000">
              <w:rPr>
                <w:rtl w:val="0"/>
              </w:rPr>
              <w:t xml:space="preserve"> Jan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ind w:right="284"/>
              <w:jc w:val="center"/>
              <w:rPr/>
            </w:pPr>
            <w:r w:rsidDel="00000000" w:rsidR="00000000" w:rsidRPr="00000000">
              <w:rPr>
                <w:rtl w:val="0"/>
              </w:rPr>
            </w:r>
          </w:p>
          <w:p w:rsidR="00000000" w:rsidDel="00000000" w:rsidP="00000000" w:rsidRDefault="00000000" w:rsidRPr="00000000" w14:paraId="00000092">
            <w:pPr>
              <w:jc w:val="center"/>
              <w:rPr>
                <w:rFonts w:ascii="Arial" w:cs="Arial" w:eastAsia="Arial" w:hAnsi="Arial"/>
                <w:sz w:val="18"/>
                <w:szCs w:val="18"/>
              </w:rPr>
            </w:pPr>
            <w:r w:rsidDel="00000000" w:rsidR="00000000" w:rsidRPr="00000000">
              <w:rPr>
                <w:sz w:val="22"/>
                <w:szCs w:val="22"/>
                <w:rtl w:val="0"/>
              </w:rPr>
              <w:t xml:space="preserve">Introducing core concepts: Direct and Indirect finance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numPr>
                <w:ilvl w:val="0"/>
                <w:numId w:val="2"/>
              </w:numPr>
              <w:ind w:left="720" w:right="284" w:hanging="360"/>
              <w:rPr>
                <w:sz w:val="22"/>
                <w:szCs w:val="22"/>
              </w:rPr>
            </w:pPr>
            <w:r w:rsidDel="00000000" w:rsidR="00000000" w:rsidRPr="00000000">
              <w:rPr>
                <w:sz w:val="22"/>
                <w:szCs w:val="22"/>
                <w:rtl w:val="0"/>
              </w:rPr>
              <w:t xml:space="preserve">Introduction to Financial Markets</w:t>
            </w:r>
          </w:p>
          <w:p w:rsidR="00000000" w:rsidDel="00000000" w:rsidP="00000000" w:rsidRDefault="00000000" w:rsidRPr="00000000" w14:paraId="00000094">
            <w:pPr>
              <w:numPr>
                <w:ilvl w:val="0"/>
                <w:numId w:val="2"/>
              </w:numPr>
              <w:ind w:left="720" w:right="284" w:hanging="360"/>
              <w:rPr>
                <w:sz w:val="22"/>
                <w:szCs w:val="22"/>
              </w:rPr>
            </w:pPr>
            <w:r w:rsidDel="00000000" w:rsidR="00000000" w:rsidRPr="00000000">
              <w:rPr>
                <w:sz w:val="22"/>
                <w:szCs w:val="22"/>
                <w:rtl w:val="0"/>
              </w:rPr>
              <w:t xml:space="preserve">Introduction to Financial Institutions</w:t>
            </w:r>
          </w:p>
          <w:p w:rsidR="00000000" w:rsidDel="00000000" w:rsidP="00000000" w:rsidRDefault="00000000" w:rsidRPr="00000000" w14:paraId="00000095">
            <w:pPr>
              <w:numPr>
                <w:ilvl w:val="0"/>
                <w:numId w:val="2"/>
              </w:numPr>
              <w:ind w:left="720" w:right="284" w:hanging="360"/>
              <w:rPr>
                <w:sz w:val="22"/>
                <w:szCs w:val="22"/>
              </w:rPr>
            </w:pPr>
            <w:r w:rsidDel="00000000" w:rsidR="00000000" w:rsidRPr="00000000">
              <w:rPr>
                <w:sz w:val="22"/>
                <w:szCs w:val="22"/>
                <w:rtl w:val="0"/>
              </w:rPr>
              <w:t xml:space="preserve">Overview of financial system’s structure</w:t>
            </w:r>
          </w:p>
          <w:p w:rsidR="00000000" w:rsidDel="00000000" w:rsidP="00000000" w:rsidRDefault="00000000" w:rsidRPr="00000000" w14:paraId="00000096">
            <w:pPr>
              <w:numPr>
                <w:ilvl w:val="0"/>
                <w:numId w:val="3"/>
              </w:numPr>
              <w:ind w:left="720" w:right="284" w:hanging="360"/>
              <w:rPr>
                <w:color w:val="000000"/>
                <w:sz w:val="22"/>
                <w:szCs w:val="22"/>
              </w:rPr>
            </w:pPr>
            <w:r w:rsidDel="00000000" w:rsidR="00000000" w:rsidRPr="00000000">
              <w:rPr>
                <w:color w:val="000000"/>
                <w:sz w:val="22"/>
                <w:szCs w:val="22"/>
                <w:rtl w:val="0"/>
              </w:rPr>
              <w:t xml:space="preserve">Indirect finance- Commercial banks: depository and lending functions, Investment banks and insurance companies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7">
            <w:pPr>
              <w:jc w:val="center"/>
              <w:rPr/>
            </w:pPr>
            <w:r w:rsidDel="00000000" w:rsidR="00000000" w:rsidRPr="00000000">
              <w:rPr>
                <w:rtl w:val="0"/>
              </w:rPr>
              <w:t xml:space="preserve">2</w:t>
            </w:r>
          </w:p>
        </w:tc>
        <w:tc>
          <w:tcPr/>
          <w:p w:rsidR="00000000" w:rsidDel="00000000" w:rsidP="00000000" w:rsidRDefault="00000000" w:rsidRPr="00000000" w14:paraId="00000098">
            <w:pPr>
              <w:ind w:right="284"/>
              <w:jc w:val="center"/>
              <w:rPr/>
            </w:pPr>
            <w:r w:rsidDel="00000000" w:rsidR="00000000" w:rsidRPr="00000000">
              <w:rPr>
                <w:rtl w:val="0"/>
              </w:rPr>
            </w:r>
          </w:p>
          <w:p w:rsidR="00000000" w:rsidDel="00000000" w:rsidP="00000000" w:rsidRDefault="00000000" w:rsidRPr="00000000" w14:paraId="00000099">
            <w:pPr>
              <w:ind w:right="284"/>
              <w:jc w:val="center"/>
              <w:rPr/>
            </w:pPr>
            <w:r w:rsidDel="00000000" w:rsidR="00000000" w:rsidRPr="00000000">
              <w:rPr>
                <w:rtl w:val="0"/>
              </w:rPr>
              <w:t xml:space="preserve">25</w:t>
            </w:r>
            <w:r w:rsidDel="00000000" w:rsidR="00000000" w:rsidRPr="00000000">
              <w:rPr>
                <w:vertAlign w:val="superscript"/>
                <w:rtl w:val="0"/>
              </w:rPr>
              <w:t xml:space="preserve">th</w:t>
            </w:r>
            <w:r w:rsidDel="00000000" w:rsidR="00000000" w:rsidRPr="00000000">
              <w:rPr>
                <w:rtl w:val="0"/>
              </w:rPr>
              <w:t xml:space="preserve"> Jan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ind w:right="284"/>
              <w:jc w:val="center"/>
              <w:rPr/>
            </w:pPr>
            <w:r w:rsidDel="00000000" w:rsidR="00000000" w:rsidRPr="00000000">
              <w:rPr>
                <w:rtl w:val="0"/>
              </w:rPr>
              <w:t xml:space="preserve">Financial Markets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numPr>
                <w:ilvl w:val="0"/>
                <w:numId w:val="2"/>
              </w:numPr>
              <w:ind w:left="720" w:right="284" w:hanging="360"/>
              <w:rPr>
                <w:color w:val="000000"/>
                <w:sz w:val="22"/>
                <w:szCs w:val="22"/>
              </w:rPr>
            </w:pPr>
            <w:r w:rsidDel="00000000" w:rsidR="00000000" w:rsidRPr="00000000">
              <w:rPr>
                <w:color w:val="000000"/>
                <w:sz w:val="22"/>
                <w:szCs w:val="22"/>
                <w:rtl w:val="0"/>
              </w:rPr>
              <w:t xml:space="preserve">Money markets vs. capital markets</w:t>
            </w:r>
          </w:p>
          <w:p w:rsidR="00000000" w:rsidDel="00000000" w:rsidP="00000000" w:rsidRDefault="00000000" w:rsidRPr="00000000" w14:paraId="0000009C">
            <w:pPr>
              <w:numPr>
                <w:ilvl w:val="0"/>
                <w:numId w:val="2"/>
              </w:numPr>
              <w:ind w:left="720" w:right="284" w:hanging="360"/>
              <w:rPr>
                <w:color w:val="000000"/>
                <w:sz w:val="22"/>
                <w:szCs w:val="22"/>
              </w:rPr>
            </w:pPr>
            <w:r w:rsidDel="00000000" w:rsidR="00000000" w:rsidRPr="00000000">
              <w:rPr>
                <w:color w:val="000000"/>
                <w:sz w:val="22"/>
                <w:szCs w:val="22"/>
                <w:rtl w:val="0"/>
              </w:rPr>
              <w:t xml:space="preserve">Primary markets vs. secondary markets</w:t>
            </w:r>
          </w:p>
          <w:p w:rsidR="00000000" w:rsidDel="00000000" w:rsidP="00000000" w:rsidRDefault="00000000" w:rsidRPr="00000000" w14:paraId="0000009D">
            <w:pPr>
              <w:numPr>
                <w:ilvl w:val="0"/>
                <w:numId w:val="2"/>
              </w:numPr>
              <w:ind w:left="720" w:right="284" w:hanging="360"/>
              <w:rPr>
                <w:color w:val="000000"/>
                <w:sz w:val="22"/>
                <w:szCs w:val="22"/>
              </w:rPr>
            </w:pPr>
            <w:r w:rsidDel="00000000" w:rsidR="00000000" w:rsidRPr="00000000">
              <w:rPr>
                <w:color w:val="000000"/>
                <w:sz w:val="22"/>
                <w:szCs w:val="22"/>
                <w:rtl w:val="0"/>
              </w:rPr>
              <w:t xml:space="preserve">Spot markets vs. derivatives markets</w:t>
            </w:r>
          </w:p>
          <w:p w:rsidR="00000000" w:rsidDel="00000000" w:rsidP="00000000" w:rsidRDefault="00000000" w:rsidRPr="00000000" w14:paraId="0000009E">
            <w:pPr>
              <w:numPr>
                <w:ilvl w:val="0"/>
                <w:numId w:val="2"/>
              </w:numPr>
              <w:ind w:left="720" w:right="284" w:hanging="360"/>
              <w:rPr>
                <w:sz w:val="22"/>
                <w:szCs w:val="22"/>
              </w:rPr>
            </w:pPr>
            <w:r w:rsidDel="00000000" w:rsidR="00000000" w:rsidRPr="00000000">
              <w:rPr>
                <w:color w:val="000000"/>
                <w:sz w:val="22"/>
                <w:szCs w:val="22"/>
                <w:rtl w:val="0"/>
              </w:rPr>
              <w:t xml:space="preserve">Equity markets, foreign reserve markets, bond markets etc</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F">
            <w:pPr>
              <w:jc w:val="center"/>
              <w:rPr/>
            </w:pPr>
            <w:r w:rsidDel="00000000" w:rsidR="00000000" w:rsidRPr="00000000">
              <w:rPr>
                <w:rtl w:val="0"/>
              </w:rPr>
            </w:r>
          </w:p>
          <w:p w:rsidR="00000000" w:rsidDel="00000000" w:rsidP="00000000" w:rsidRDefault="00000000" w:rsidRPr="00000000" w14:paraId="000000A0">
            <w:pPr>
              <w:jc w:val="center"/>
              <w:rPr/>
            </w:pPr>
            <w:r w:rsidDel="00000000" w:rsidR="00000000" w:rsidRPr="00000000">
              <w:rPr>
                <w:rtl w:val="0"/>
              </w:rPr>
              <w:t xml:space="preserve">3</w:t>
            </w:r>
          </w:p>
          <w:p w:rsidR="00000000" w:rsidDel="00000000" w:rsidP="00000000" w:rsidRDefault="00000000" w:rsidRPr="00000000" w14:paraId="000000A1">
            <w:pPr>
              <w:jc w:val="center"/>
              <w:rPr/>
            </w:pPr>
            <w:r w:rsidDel="00000000" w:rsidR="00000000" w:rsidRPr="00000000">
              <w:rPr>
                <w:rtl w:val="0"/>
              </w:rPr>
            </w:r>
          </w:p>
          <w:p w:rsidR="00000000" w:rsidDel="00000000" w:rsidP="00000000" w:rsidRDefault="00000000" w:rsidRPr="00000000" w14:paraId="000000A2">
            <w:pPr>
              <w:jc w:val="center"/>
              <w:rPr/>
            </w:pPr>
            <w:r w:rsidDel="00000000" w:rsidR="00000000" w:rsidRPr="00000000">
              <w:rPr>
                <w:rtl w:val="0"/>
              </w:rPr>
            </w:r>
          </w:p>
        </w:tc>
        <w:tc>
          <w:tcPr/>
          <w:p w:rsidR="00000000" w:rsidDel="00000000" w:rsidP="00000000" w:rsidRDefault="00000000" w:rsidRPr="00000000" w14:paraId="000000A3">
            <w:pPr>
              <w:ind w:right="284"/>
              <w:rPr/>
            </w:pPr>
            <w:r w:rsidDel="00000000" w:rsidR="00000000" w:rsidRPr="00000000">
              <w:rPr>
                <w:rtl w:val="0"/>
              </w:rPr>
            </w:r>
          </w:p>
          <w:p w:rsidR="00000000" w:rsidDel="00000000" w:rsidP="00000000" w:rsidRDefault="00000000" w:rsidRPr="00000000" w14:paraId="000000A4">
            <w:pPr>
              <w:ind w:right="284"/>
              <w:jc w:val="center"/>
              <w:rPr/>
            </w:pPr>
            <w:r w:rsidDel="00000000" w:rsidR="00000000" w:rsidRPr="00000000">
              <w:rPr>
                <w:rtl w:val="0"/>
              </w:rPr>
              <w:t xml:space="preserve">1</w:t>
            </w:r>
            <w:r w:rsidDel="00000000" w:rsidR="00000000" w:rsidRPr="00000000">
              <w:rPr>
                <w:vertAlign w:val="superscript"/>
                <w:rtl w:val="0"/>
              </w:rPr>
              <w:t xml:space="preserve">st</w:t>
            </w:r>
            <w:r w:rsidDel="00000000" w:rsidR="00000000" w:rsidRPr="00000000">
              <w:rPr>
                <w:rtl w:val="0"/>
              </w:rPr>
              <w:t xml:space="preserve"> Feb</w:t>
            </w:r>
          </w:p>
          <w:p w:rsidR="00000000" w:rsidDel="00000000" w:rsidP="00000000" w:rsidRDefault="00000000" w:rsidRPr="00000000" w14:paraId="000000A5">
            <w:pPr>
              <w:ind w:right="284"/>
              <w:jc w:val="center"/>
              <w:rPr/>
            </w:pPr>
            <w:r w:rsidDel="00000000" w:rsidR="00000000" w:rsidRPr="00000000">
              <w:rPr>
                <w:rtl w:val="0"/>
              </w:rPr>
              <w:t xml:space="preserve">(Bank holiday – session to be recorded)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ind w:right="284"/>
              <w:rPr/>
            </w:pPr>
            <w:r w:rsidDel="00000000" w:rsidR="00000000" w:rsidRPr="00000000">
              <w:rPr>
                <w:rtl w:val="0"/>
              </w:rPr>
            </w:r>
          </w:p>
          <w:p w:rsidR="00000000" w:rsidDel="00000000" w:rsidP="00000000" w:rsidRDefault="00000000" w:rsidRPr="00000000" w14:paraId="000000A7">
            <w:pPr>
              <w:ind w:right="284"/>
              <w:rPr/>
            </w:pPr>
            <w:r w:rsidDel="00000000" w:rsidR="00000000" w:rsidRPr="00000000">
              <w:rPr>
                <w:rtl w:val="0"/>
              </w:rPr>
            </w:r>
          </w:p>
          <w:p w:rsidR="00000000" w:rsidDel="00000000" w:rsidP="00000000" w:rsidRDefault="00000000" w:rsidRPr="00000000" w14:paraId="000000A8">
            <w:pPr>
              <w:jc w:val="center"/>
              <w:rPr>
                <w:rFonts w:ascii="Arial" w:cs="Arial" w:eastAsia="Arial" w:hAnsi="Arial"/>
                <w:sz w:val="18"/>
                <w:szCs w:val="18"/>
              </w:rPr>
            </w:pPr>
            <w:r w:rsidDel="00000000" w:rsidR="00000000" w:rsidRPr="00000000">
              <w:rPr>
                <w:sz w:val="22"/>
                <w:szCs w:val="22"/>
                <w:rtl w:val="0"/>
              </w:rPr>
              <w:t xml:space="preserve">Financial Institutions: structure and functions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numPr>
                <w:ilvl w:val="0"/>
                <w:numId w:val="4"/>
              </w:numPr>
              <w:ind w:left="720" w:right="284" w:hanging="360"/>
              <w:rPr>
                <w:color w:val="000000"/>
                <w:sz w:val="22"/>
                <w:szCs w:val="22"/>
              </w:rPr>
            </w:pPr>
            <w:r w:rsidDel="00000000" w:rsidR="00000000" w:rsidRPr="00000000">
              <w:rPr>
                <w:color w:val="000000"/>
                <w:sz w:val="22"/>
                <w:szCs w:val="22"/>
                <w:rtl w:val="0"/>
              </w:rPr>
              <w:t xml:space="preserve">Bank balance sheets – assets and liabilities</w:t>
            </w:r>
          </w:p>
          <w:p w:rsidR="00000000" w:rsidDel="00000000" w:rsidP="00000000" w:rsidRDefault="00000000" w:rsidRPr="00000000" w14:paraId="000000AA">
            <w:pPr>
              <w:numPr>
                <w:ilvl w:val="0"/>
                <w:numId w:val="4"/>
              </w:numPr>
              <w:ind w:left="720" w:right="284" w:hanging="360"/>
              <w:rPr>
                <w:color w:val="000000"/>
                <w:sz w:val="22"/>
                <w:szCs w:val="22"/>
              </w:rPr>
            </w:pPr>
            <w:r w:rsidDel="00000000" w:rsidR="00000000" w:rsidRPr="00000000">
              <w:rPr>
                <w:color w:val="000000"/>
                <w:sz w:val="22"/>
                <w:szCs w:val="22"/>
                <w:rtl w:val="0"/>
              </w:rPr>
              <w:t xml:space="preserve">Basics of banking</w:t>
            </w:r>
          </w:p>
          <w:p w:rsidR="00000000" w:rsidDel="00000000" w:rsidP="00000000" w:rsidRDefault="00000000" w:rsidRPr="00000000" w14:paraId="000000AB">
            <w:pPr>
              <w:numPr>
                <w:ilvl w:val="0"/>
                <w:numId w:val="4"/>
              </w:numPr>
              <w:ind w:left="720" w:right="284" w:hanging="360"/>
              <w:rPr>
                <w:color w:val="000000"/>
                <w:sz w:val="22"/>
                <w:szCs w:val="22"/>
              </w:rPr>
            </w:pPr>
            <w:r w:rsidDel="00000000" w:rsidR="00000000" w:rsidRPr="00000000">
              <w:rPr>
                <w:color w:val="000000"/>
                <w:sz w:val="22"/>
                <w:szCs w:val="22"/>
                <w:rtl w:val="0"/>
              </w:rPr>
              <w:t xml:space="preserve">Capital management</w:t>
            </w:r>
          </w:p>
          <w:p w:rsidR="00000000" w:rsidDel="00000000" w:rsidP="00000000" w:rsidRDefault="00000000" w:rsidRPr="00000000" w14:paraId="000000AC">
            <w:pPr>
              <w:numPr>
                <w:ilvl w:val="0"/>
                <w:numId w:val="4"/>
              </w:numPr>
              <w:ind w:left="720" w:right="284" w:hanging="360"/>
              <w:rPr>
                <w:color w:val="000000"/>
              </w:rPr>
            </w:pPr>
            <w:r w:rsidDel="00000000" w:rsidR="00000000" w:rsidRPr="00000000">
              <w:rPr>
                <w:color w:val="000000"/>
                <w:sz w:val="22"/>
                <w:szCs w:val="22"/>
                <w:rtl w:val="0"/>
              </w:rPr>
              <w:t xml:space="preserve">Bank performance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D">
            <w:pPr>
              <w:jc w:val="center"/>
              <w:rPr/>
            </w:pPr>
            <w:r w:rsidDel="00000000" w:rsidR="00000000" w:rsidRPr="00000000">
              <w:rPr>
                <w:rtl w:val="0"/>
              </w:rPr>
            </w:r>
          </w:p>
          <w:p w:rsidR="00000000" w:rsidDel="00000000" w:rsidP="00000000" w:rsidRDefault="00000000" w:rsidRPr="00000000" w14:paraId="000000AE">
            <w:pPr>
              <w:jc w:val="center"/>
              <w:rPr/>
            </w:pPr>
            <w:r w:rsidDel="00000000" w:rsidR="00000000" w:rsidRPr="00000000">
              <w:rPr>
                <w:rtl w:val="0"/>
              </w:rPr>
              <w:t xml:space="preserve">4</w:t>
            </w:r>
          </w:p>
          <w:p w:rsidR="00000000" w:rsidDel="00000000" w:rsidP="00000000" w:rsidRDefault="00000000" w:rsidRPr="00000000" w14:paraId="000000AF">
            <w:pPr>
              <w:jc w:val="center"/>
              <w:rPr/>
            </w:pPr>
            <w:r w:rsidDel="00000000" w:rsidR="00000000" w:rsidRPr="00000000">
              <w:rPr>
                <w:rtl w:val="0"/>
              </w:rPr>
            </w:r>
          </w:p>
          <w:p w:rsidR="00000000" w:rsidDel="00000000" w:rsidP="00000000" w:rsidRDefault="00000000" w:rsidRPr="00000000" w14:paraId="000000B0">
            <w:pPr>
              <w:jc w:val="center"/>
              <w:rPr/>
            </w:pPr>
            <w:r w:rsidDel="00000000" w:rsidR="00000000" w:rsidRPr="00000000">
              <w:rPr>
                <w:rtl w:val="0"/>
              </w:rPr>
            </w:r>
          </w:p>
        </w:tc>
        <w:tc>
          <w:tcPr/>
          <w:p w:rsidR="00000000" w:rsidDel="00000000" w:rsidP="00000000" w:rsidRDefault="00000000" w:rsidRPr="00000000" w14:paraId="000000B1">
            <w:pPr>
              <w:ind w:right="284"/>
              <w:rPr/>
            </w:pPr>
            <w:r w:rsidDel="00000000" w:rsidR="00000000" w:rsidRPr="00000000">
              <w:rPr>
                <w:rtl w:val="0"/>
              </w:rPr>
            </w:r>
          </w:p>
          <w:p w:rsidR="00000000" w:rsidDel="00000000" w:rsidP="00000000" w:rsidRDefault="00000000" w:rsidRPr="00000000" w14:paraId="000000B2">
            <w:pPr>
              <w:ind w:right="284"/>
              <w:rPr/>
            </w:pPr>
            <w:r w:rsidDel="00000000" w:rsidR="00000000" w:rsidRPr="00000000">
              <w:rPr>
                <w:rtl w:val="0"/>
              </w:rPr>
            </w:r>
          </w:p>
          <w:p w:rsidR="00000000" w:rsidDel="00000000" w:rsidP="00000000" w:rsidRDefault="00000000" w:rsidRPr="00000000" w14:paraId="000000B3">
            <w:pPr>
              <w:ind w:right="284"/>
              <w:jc w:val="center"/>
              <w:rPr/>
            </w:pPr>
            <w:r w:rsidDel="00000000" w:rsidR="00000000" w:rsidRPr="00000000">
              <w:rPr>
                <w:rtl w:val="0"/>
              </w:rPr>
              <w:t xml:space="preserve">8</w:t>
            </w:r>
            <w:r w:rsidDel="00000000" w:rsidR="00000000" w:rsidRPr="00000000">
              <w:rPr>
                <w:vertAlign w:val="superscript"/>
                <w:rtl w:val="0"/>
              </w:rPr>
              <w:t xml:space="preserve">th</w:t>
            </w:r>
            <w:r w:rsidDel="00000000" w:rsidR="00000000" w:rsidRPr="00000000">
              <w:rPr>
                <w:rtl w:val="0"/>
              </w:rPr>
              <w:t xml:space="preserve"> Feb</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ind w:right="284"/>
              <w:rPr/>
            </w:pPr>
            <w:r w:rsidDel="00000000" w:rsidR="00000000" w:rsidRPr="00000000">
              <w:rPr>
                <w:rtl w:val="0"/>
              </w:rPr>
            </w:r>
          </w:p>
          <w:p w:rsidR="00000000" w:rsidDel="00000000" w:rsidP="00000000" w:rsidRDefault="00000000" w:rsidRPr="00000000" w14:paraId="000000B5">
            <w:pPr>
              <w:jc w:val="center"/>
              <w:rPr>
                <w:sz w:val="22"/>
                <w:szCs w:val="22"/>
              </w:rPr>
            </w:pPr>
            <w:r w:rsidDel="00000000" w:rsidR="00000000" w:rsidRPr="00000000">
              <w:rPr>
                <w:rtl w:val="0"/>
              </w:rPr>
            </w:r>
          </w:p>
          <w:p w:rsidR="00000000" w:rsidDel="00000000" w:rsidP="00000000" w:rsidRDefault="00000000" w:rsidRPr="00000000" w14:paraId="000000B6">
            <w:pPr>
              <w:jc w:val="center"/>
              <w:rPr>
                <w:rFonts w:ascii="Arial" w:cs="Arial" w:eastAsia="Arial" w:hAnsi="Arial"/>
                <w:sz w:val="18"/>
                <w:szCs w:val="18"/>
              </w:rPr>
            </w:pPr>
            <w:r w:rsidDel="00000000" w:rsidR="00000000" w:rsidRPr="00000000">
              <w:rPr>
                <w:sz w:val="22"/>
                <w:szCs w:val="22"/>
                <w:rtl w:val="0"/>
              </w:rPr>
              <w:t xml:space="preserve">Central Banks and Monetary Policy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numPr>
                <w:ilvl w:val="0"/>
                <w:numId w:val="4"/>
              </w:numPr>
              <w:ind w:left="720" w:right="284" w:hanging="360"/>
              <w:rPr>
                <w:sz w:val="22"/>
                <w:szCs w:val="22"/>
              </w:rPr>
            </w:pPr>
            <w:r w:rsidDel="00000000" w:rsidR="00000000" w:rsidRPr="00000000">
              <w:rPr>
                <w:sz w:val="22"/>
                <w:szCs w:val="22"/>
                <w:rtl w:val="0"/>
              </w:rPr>
              <w:t xml:space="preserve">Defining central banks and core functions</w:t>
            </w:r>
          </w:p>
          <w:p w:rsidR="00000000" w:rsidDel="00000000" w:rsidP="00000000" w:rsidRDefault="00000000" w:rsidRPr="00000000" w14:paraId="000000B8">
            <w:pPr>
              <w:numPr>
                <w:ilvl w:val="0"/>
                <w:numId w:val="4"/>
              </w:numPr>
              <w:ind w:left="720" w:right="284" w:hanging="360"/>
              <w:rPr>
                <w:sz w:val="22"/>
                <w:szCs w:val="22"/>
              </w:rPr>
            </w:pPr>
            <w:r w:rsidDel="00000000" w:rsidR="00000000" w:rsidRPr="00000000">
              <w:rPr>
                <w:sz w:val="22"/>
                <w:szCs w:val="22"/>
                <w:rtl w:val="0"/>
              </w:rPr>
              <w:t xml:space="preserve">Role of central banks in monetary policy, financial stability and banking supervision</w:t>
            </w:r>
          </w:p>
          <w:p w:rsidR="00000000" w:rsidDel="00000000" w:rsidP="00000000" w:rsidRDefault="00000000" w:rsidRPr="00000000" w14:paraId="000000B9">
            <w:pPr>
              <w:numPr>
                <w:ilvl w:val="0"/>
                <w:numId w:val="4"/>
              </w:numPr>
              <w:ind w:left="720" w:right="284" w:hanging="360"/>
              <w:rPr>
                <w:sz w:val="22"/>
                <w:szCs w:val="22"/>
              </w:rPr>
            </w:pPr>
            <w:r w:rsidDel="00000000" w:rsidR="00000000" w:rsidRPr="00000000">
              <w:rPr>
                <w:sz w:val="22"/>
                <w:szCs w:val="22"/>
                <w:rtl w:val="0"/>
              </w:rPr>
              <w:t xml:space="preserve">Objectives of monetary policy</w:t>
            </w:r>
          </w:p>
          <w:p w:rsidR="00000000" w:rsidDel="00000000" w:rsidP="00000000" w:rsidRDefault="00000000" w:rsidRPr="00000000" w14:paraId="000000BA">
            <w:pPr>
              <w:numPr>
                <w:ilvl w:val="0"/>
                <w:numId w:val="4"/>
              </w:numPr>
              <w:ind w:left="720" w:right="284" w:hanging="360"/>
              <w:rPr>
                <w:sz w:val="22"/>
                <w:szCs w:val="22"/>
              </w:rPr>
            </w:pPr>
            <w:r w:rsidDel="00000000" w:rsidR="00000000" w:rsidRPr="00000000">
              <w:rPr>
                <w:sz w:val="22"/>
                <w:szCs w:val="22"/>
                <w:rtl w:val="0"/>
              </w:rPr>
              <w:t xml:space="preserve">Tools of monetary policy: conventional and unconventional</w:t>
            </w:r>
          </w:p>
          <w:p w:rsidR="00000000" w:rsidDel="00000000" w:rsidP="00000000" w:rsidRDefault="00000000" w:rsidRPr="00000000" w14:paraId="000000BB">
            <w:pPr>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C">
            <w:pPr>
              <w:jc w:val="center"/>
              <w:rPr/>
            </w:pPr>
            <w:r w:rsidDel="00000000" w:rsidR="00000000" w:rsidRPr="00000000">
              <w:rPr>
                <w:rtl w:val="0"/>
              </w:rPr>
              <w:t xml:space="preserve">5</w:t>
            </w:r>
          </w:p>
        </w:tc>
        <w:tc>
          <w:tcPr/>
          <w:p w:rsidR="00000000" w:rsidDel="00000000" w:rsidP="00000000" w:rsidRDefault="00000000" w:rsidRPr="00000000" w14:paraId="000000BD">
            <w:pPr>
              <w:ind w:right="284"/>
              <w:jc w:val="center"/>
              <w:rPr/>
            </w:pPr>
            <w:r w:rsidDel="00000000" w:rsidR="00000000" w:rsidRPr="00000000">
              <w:rPr>
                <w:rtl w:val="0"/>
              </w:rPr>
              <w:t xml:space="preserve">15</w:t>
            </w:r>
            <w:r w:rsidDel="00000000" w:rsidR="00000000" w:rsidRPr="00000000">
              <w:rPr>
                <w:vertAlign w:val="superscript"/>
                <w:rtl w:val="0"/>
              </w:rPr>
              <w:t xml:space="preserve">th</w:t>
            </w:r>
            <w:r w:rsidDel="00000000" w:rsidR="00000000" w:rsidRPr="00000000">
              <w:rPr>
                <w:rtl w:val="0"/>
              </w:rPr>
              <w:t xml:space="preserve"> Feb</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ind w:right="284"/>
              <w:jc w:val="center"/>
              <w:rPr/>
            </w:pPr>
            <w:r w:rsidDel="00000000" w:rsidR="00000000" w:rsidRPr="00000000">
              <w:rPr>
                <w:rtl w:val="0"/>
              </w:rPr>
              <w:t xml:space="preserve">Green central banking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ind w:right="284"/>
              <w:rPr>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0">
            <w:pPr>
              <w:jc w:val="center"/>
              <w:rPr/>
            </w:pPr>
            <w:r w:rsidDel="00000000" w:rsidR="00000000" w:rsidRPr="00000000">
              <w:rPr>
                <w:rtl w:val="0"/>
              </w:rPr>
            </w:r>
          </w:p>
          <w:p w:rsidR="00000000" w:rsidDel="00000000" w:rsidP="00000000" w:rsidRDefault="00000000" w:rsidRPr="00000000" w14:paraId="000000C1">
            <w:pPr>
              <w:jc w:val="center"/>
              <w:rPr/>
            </w:pPr>
            <w:r w:rsidDel="00000000" w:rsidR="00000000" w:rsidRPr="00000000">
              <w:rPr>
                <w:rtl w:val="0"/>
              </w:rPr>
              <w:t xml:space="preserve">6</w:t>
            </w:r>
          </w:p>
          <w:p w:rsidR="00000000" w:rsidDel="00000000" w:rsidP="00000000" w:rsidRDefault="00000000" w:rsidRPr="00000000" w14:paraId="000000C2">
            <w:pPr>
              <w:jc w:val="center"/>
              <w:rPr/>
            </w:pPr>
            <w:r w:rsidDel="00000000" w:rsidR="00000000" w:rsidRPr="00000000">
              <w:rPr>
                <w:rtl w:val="0"/>
              </w:rPr>
            </w:r>
          </w:p>
        </w:tc>
        <w:tc>
          <w:tcPr/>
          <w:p w:rsidR="00000000" w:rsidDel="00000000" w:rsidP="00000000" w:rsidRDefault="00000000" w:rsidRPr="00000000" w14:paraId="000000C3">
            <w:pPr>
              <w:ind w:right="284"/>
              <w:rPr/>
            </w:pPr>
            <w:r w:rsidDel="00000000" w:rsidR="00000000" w:rsidRPr="00000000">
              <w:rPr>
                <w:rtl w:val="0"/>
              </w:rPr>
            </w:r>
          </w:p>
          <w:p w:rsidR="00000000" w:rsidDel="00000000" w:rsidP="00000000" w:rsidRDefault="00000000" w:rsidRPr="00000000" w14:paraId="000000C4">
            <w:pPr>
              <w:ind w:right="284"/>
              <w:rPr/>
            </w:pPr>
            <w:r w:rsidDel="00000000" w:rsidR="00000000" w:rsidRPr="00000000">
              <w:rPr>
                <w:rtl w:val="0"/>
              </w:rPr>
            </w:r>
          </w:p>
          <w:p w:rsidR="00000000" w:rsidDel="00000000" w:rsidP="00000000" w:rsidRDefault="00000000" w:rsidRPr="00000000" w14:paraId="000000C5">
            <w:pPr>
              <w:ind w:right="284"/>
              <w:jc w:val="center"/>
              <w:rPr/>
            </w:pPr>
            <w:r w:rsidDel="00000000" w:rsidR="00000000" w:rsidRPr="00000000">
              <w:rPr>
                <w:rtl w:val="0"/>
              </w:rPr>
              <w:t xml:space="preserve">22</w:t>
            </w:r>
            <w:r w:rsidDel="00000000" w:rsidR="00000000" w:rsidRPr="00000000">
              <w:rPr>
                <w:vertAlign w:val="superscript"/>
                <w:rtl w:val="0"/>
              </w:rPr>
              <w:t xml:space="preserve">nd</w:t>
            </w:r>
            <w:r w:rsidDel="00000000" w:rsidR="00000000" w:rsidRPr="00000000">
              <w:rPr>
                <w:rtl w:val="0"/>
              </w:rPr>
              <w:t xml:space="preserve"> Feb</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ind w:right="284"/>
              <w:rPr/>
            </w:pPr>
            <w:r w:rsidDel="00000000" w:rsidR="00000000" w:rsidRPr="00000000">
              <w:rPr>
                <w:rtl w:val="0"/>
              </w:rPr>
            </w:r>
          </w:p>
          <w:p w:rsidR="00000000" w:rsidDel="00000000" w:rsidP="00000000" w:rsidRDefault="00000000" w:rsidRPr="00000000" w14:paraId="000000C7">
            <w:pPr>
              <w:jc w:val="center"/>
              <w:rPr>
                <w:sz w:val="22"/>
                <w:szCs w:val="22"/>
              </w:rPr>
            </w:pPr>
            <w:r w:rsidDel="00000000" w:rsidR="00000000" w:rsidRPr="00000000">
              <w:rPr>
                <w:rtl w:val="0"/>
              </w:rPr>
            </w:r>
          </w:p>
          <w:p w:rsidR="00000000" w:rsidDel="00000000" w:rsidP="00000000" w:rsidRDefault="00000000" w:rsidRPr="00000000" w14:paraId="000000C8">
            <w:pPr>
              <w:jc w:val="center"/>
              <w:rPr>
                <w:rFonts w:ascii="Arial" w:cs="Arial" w:eastAsia="Arial" w:hAnsi="Arial"/>
                <w:sz w:val="18"/>
                <w:szCs w:val="18"/>
              </w:rPr>
            </w:pPr>
            <w:r w:rsidDel="00000000" w:rsidR="00000000" w:rsidRPr="00000000">
              <w:rPr>
                <w:sz w:val="22"/>
                <w:szCs w:val="22"/>
                <w:rtl w:val="0"/>
              </w:rPr>
              <w:t xml:space="preserve">Financial crisis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numPr>
                <w:ilvl w:val="0"/>
                <w:numId w:val="3"/>
              </w:numPr>
              <w:ind w:left="720" w:right="284" w:hanging="360"/>
              <w:rPr>
                <w:sz w:val="22"/>
                <w:szCs w:val="22"/>
              </w:rPr>
            </w:pPr>
            <w:r w:rsidDel="00000000" w:rsidR="00000000" w:rsidRPr="00000000">
              <w:rPr>
                <w:sz w:val="22"/>
                <w:szCs w:val="22"/>
                <w:rtl w:val="0"/>
              </w:rPr>
              <w:t xml:space="preserve">Causes and consequences of financial crisis</w:t>
            </w:r>
          </w:p>
          <w:p w:rsidR="00000000" w:rsidDel="00000000" w:rsidP="00000000" w:rsidRDefault="00000000" w:rsidRPr="00000000" w14:paraId="000000CA">
            <w:pPr>
              <w:numPr>
                <w:ilvl w:val="0"/>
                <w:numId w:val="3"/>
              </w:numPr>
              <w:ind w:left="720" w:right="284" w:hanging="360"/>
              <w:rPr>
                <w:sz w:val="22"/>
                <w:szCs w:val="22"/>
              </w:rPr>
            </w:pPr>
            <w:r w:rsidDel="00000000" w:rsidR="00000000" w:rsidRPr="00000000">
              <w:rPr>
                <w:sz w:val="22"/>
                <w:szCs w:val="22"/>
                <w:rtl w:val="0"/>
              </w:rPr>
              <w:t xml:space="preserve">2008 financial global crisis</w:t>
            </w:r>
          </w:p>
          <w:p w:rsidR="00000000" w:rsidDel="00000000" w:rsidP="00000000" w:rsidRDefault="00000000" w:rsidRPr="00000000" w14:paraId="000000CB">
            <w:pPr>
              <w:numPr>
                <w:ilvl w:val="0"/>
                <w:numId w:val="3"/>
              </w:numPr>
              <w:ind w:left="720" w:right="284" w:hanging="360"/>
              <w:rPr>
                <w:sz w:val="22"/>
                <w:szCs w:val="22"/>
              </w:rPr>
            </w:pPr>
            <w:r w:rsidDel="00000000" w:rsidR="00000000" w:rsidRPr="00000000">
              <w:rPr>
                <w:sz w:val="22"/>
                <w:szCs w:val="22"/>
                <w:rtl w:val="0"/>
              </w:rPr>
              <w:t xml:space="preserve">Too big to fail institutions</w:t>
            </w:r>
          </w:p>
          <w:p w:rsidR="00000000" w:rsidDel="00000000" w:rsidP="00000000" w:rsidRDefault="00000000" w:rsidRPr="00000000" w14:paraId="000000CC">
            <w:pPr>
              <w:numPr>
                <w:ilvl w:val="0"/>
                <w:numId w:val="3"/>
              </w:numPr>
              <w:ind w:left="720" w:right="284" w:hanging="360"/>
              <w:rPr>
                <w:sz w:val="22"/>
                <w:szCs w:val="22"/>
              </w:rPr>
            </w:pPr>
            <w:r w:rsidDel="00000000" w:rsidR="00000000" w:rsidRPr="00000000">
              <w:rPr>
                <w:sz w:val="22"/>
                <w:szCs w:val="22"/>
                <w:rtl w:val="0"/>
              </w:rPr>
              <w:t xml:space="preserve">Systemic risk </w:t>
            </w:r>
          </w:p>
          <w:p w:rsidR="00000000" w:rsidDel="00000000" w:rsidP="00000000" w:rsidRDefault="00000000" w:rsidRPr="00000000" w14:paraId="000000CD">
            <w:pPr>
              <w:numPr>
                <w:ilvl w:val="0"/>
                <w:numId w:val="3"/>
              </w:numPr>
              <w:ind w:left="720" w:right="284" w:hanging="360"/>
              <w:rPr>
                <w:color w:val="000000"/>
              </w:rPr>
            </w:pPr>
            <w:r w:rsidDel="00000000" w:rsidR="00000000" w:rsidRPr="00000000">
              <w:rPr>
                <w:sz w:val="22"/>
                <w:szCs w:val="22"/>
                <w:rtl w:val="0"/>
              </w:rPr>
              <w:t xml:space="preserve">Role of central banks in monitoring and addressing systemic risk</w:t>
            </w:r>
            <w:r w:rsidDel="00000000" w:rsidR="00000000" w:rsidRPr="00000000">
              <w:rPr>
                <w:rtl w:val="0"/>
              </w:rPr>
            </w:r>
          </w:p>
        </w:tc>
      </w:tr>
      <w:tr>
        <w:trPr>
          <w:cantSplit w:val="0"/>
          <w:tblHeader w:val="0"/>
        </w:trPr>
        <w:tc>
          <w:tcPr>
            <w:gridSpan w:val="4"/>
            <w:tcBorders>
              <w:right w:color="000000" w:space="0" w:sz="4" w:val="single"/>
            </w:tcBorders>
          </w:tcPr>
          <w:p w:rsidR="00000000" w:rsidDel="00000000" w:rsidP="00000000" w:rsidRDefault="00000000" w:rsidRPr="00000000" w14:paraId="000000CE">
            <w:pPr>
              <w:jc w:val="center"/>
              <w:rPr>
                <w:b w:val="1"/>
                <w:bCs w:val="1"/>
              </w:rPr>
            </w:pPr>
            <w:r w:rsidDel="00000000" w:rsidR="00000000" w:rsidRPr="00000000">
              <w:rPr>
                <w:b w:val="1"/>
                <w:bCs w:val="1"/>
                <w:rtl w:val="0"/>
              </w:rPr>
              <w:t xml:space="preserve">Reading Week</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2">
            <w:pPr>
              <w:jc w:val="center"/>
              <w:rPr/>
            </w:pPr>
            <w:r w:rsidDel="00000000" w:rsidR="00000000" w:rsidRPr="00000000">
              <w:rPr>
                <w:rtl w:val="0"/>
              </w:rPr>
              <w:t xml:space="preserve">8</w:t>
            </w:r>
          </w:p>
        </w:tc>
        <w:tc>
          <w:tcPr/>
          <w:p w:rsidR="00000000" w:rsidDel="00000000" w:rsidP="00000000" w:rsidRDefault="00000000" w:rsidRPr="00000000" w14:paraId="000000D3">
            <w:pPr>
              <w:jc w:val="center"/>
              <w:rPr>
                <w:sz w:val="22"/>
                <w:szCs w:val="22"/>
              </w:rPr>
            </w:pPr>
            <w:r w:rsidDel="00000000" w:rsidR="00000000" w:rsidRPr="00000000">
              <w:rPr>
                <w:rtl w:val="0"/>
              </w:rPr>
            </w:r>
          </w:p>
          <w:p w:rsidR="00000000" w:rsidDel="00000000" w:rsidP="00000000" w:rsidRDefault="00000000" w:rsidRPr="00000000" w14:paraId="000000D4">
            <w:pPr>
              <w:jc w:val="center"/>
              <w:rPr>
                <w:sz w:val="22"/>
                <w:szCs w:val="22"/>
              </w:rPr>
            </w:pPr>
            <w:r w:rsidDel="00000000" w:rsidR="00000000" w:rsidRPr="00000000">
              <w:rPr>
                <w:rtl w:val="0"/>
              </w:rPr>
            </w:r>
          </w:p>
          <w:p w:rsidR="00000000" w:rsidDel="00000000" w:rsidP="00000000" w:rsidRDefault="00000000" w:rsidRPr="00000000" w14:paraId="000000D5">
            <w:pPr>
              <w:jc w:val="center"/>
              <w:rPr>
                <w:sz w:val="22"/>
                <w:szCs w:val="22"/>
              </w:rPr>
            </w:pPr>
            <w:r w:rsidDel="00000000" w:rsidR="00000000" w:rsidRPr="00000000">
              <w:rPr>
                <w:sz w:val="22"/>
                <w:szCs w:val="22"/>
                <w:rtl w:val="0"/>
              </w:rPr>
              <w:t xml:space="preserve">1</w:t>
            </w:r>
            <w:r w:rsidDel="00000000" w:rsidR="00000000" w:rsidRPr="00000000">
              <w:rPr>
                <w:sz w:val="22"/>
                <w:szCs w:val="22"/>
                <w:vertAlign w:val="superscript"/>
                <w:rtl w:val="0"/>
              </w:rPr>
              <w:t xml:space="preserve">st</w:t>
            </w:r>
            <w:r w:rsidDel="00000000" w:rsidR="00000000" w:rsidRPr="00000000">
              <w:rPr>
                <w:sz w:val="22"/>
                <w:szCs w:val="22"/>
                <w:rtl w:val="0"/>
              </w:rPr>
              <w:t xml:space="preserve"> March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jc w:val="center"/>
              <w:rPr>
                <w:sz w:val="22"/>
                <w:szCs w:val="22"/>
              </w:rPr>
            </w:pPr>
            <w:r w:rsidDel="00000000" w:rsidR="00000000" w:rsidRPr="00000000">
              <w:rPr>
                <w:sz w:val="22"/>
                <w:szCs w:val="22"/>
                <w:rtl w:val="0"/>
              </w:rPr>
              <w:t xml:space="preserve">Study/review week</w:t>
            </w:r>
          </w:p>
          <w:p w:rsidR="00000000" w:rsidDel="00000000" w:rsidP="00000000" w:rsidRDefault="00000000" w:rsidRPr="00000000" w14:paraId="000000D7">
            <w:pPr>
              <w:jc w:val="center"/>
              <w:rPr>
                <w:sz w:val="22"/>
                <w:szCs w:val="22"/>
              </w:rPr>
            </w:pPr>
            <w:r w:rsidDel="00000000" w:rsidR="00000000" w:rsidRPr="00000000">
              <w:rPr>
                <w:sz w:val="22"/>
                <w:szCs w:val="22"/>
                <w:rtl w:val="0"/>
              </w:rPr>
              <w:t xml:space="preserve">(no lecture)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ind w:right="284"/>
              <w:rPr>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9">
            <w:pPr>
              <w:jc w:val="center"/>
              <w:rPr/>
            </w:pPr>
            <w:r w:rsidDel="00000000" w:rsidR="00000000" w:rsidRPr="00000000">
              <w:rPr>
                <w:rtl w:val="0"/>
              </w:rPr>
              <w:t xml:space="preserve">9</w:t>
            </w:r>
          </w:p>
        </w:tc>
        <w:tc>
          <w:tcPr/>
          <w:p w:rsidR="00000000" w:rsidDel="00000000" w:rsidP="00000000" w:rsidRDefault="00000000" w:rsidRPr="00000000" w14:paraId="000000DA">
            <w:pPr>
              <w:ind w:right="284"/>
              <w:rPr/>
            </w:pPr>
            <w:r w:rsidDel="00000000" w:rsidR="00000000" w:rsidRPr="00000000">
              <w:rPr>
                <w:rtl w:val="0"/>
              </w:rPr>
            </w:r>
          </w:p>
          <w:p w:rsidR="00000000" w:rsidDel="00000000" w:rsidP="00000000" w:rsidRDefault="00000000" w:rsidRPr="00000000" w14:paraId="000000DB">
            <w:pPr>
              <w:ind w:right="284"/>
              <w:jc w:val="center"/>
              <w:rPr/>
            </w:pPr>
            <w:r w:rsidDel="00000000" w:rsidR="00000000" w:rsidRPr="00000000">
              <w:rPr>
                <w:rtl w:val="0"/>
              </w:rPr>
              <w:t xml:space="preserve">8</w:t>
            </w:r>
            <w:r w:rsidDel="00000000" w:rsidR="00000000" w:rsidRPr="00000000">
              <w:rPr>
                <w:vertAlign w:val="superscript"/>
                <w:rtl w:val="0"/>
              </w:rPr>
              <w:t xml:space="preserve">th</w:t>
            </w:r>
            <w:r w:rsidDel="00000000" w:rsidR="00000000" w:rsidRPr="00000000">
              <w:rPr>
                <w:rtl w:val="0"/>
              </w:rPr>
              <w:t xml:space="preserve"> March</w:t>
            </w:r>
          </w:p>
          <w:p w:rsidR="00000000" w:rsidDel="00000000" w:rsidP="00000000" w:rsidRDefault="00000000" w:rsidRPr="00000000" w14:paraId="000000DC">
            <w:pPr>
              <w:ind w:right="284"/>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ind w:right="284"/>
              <w:rPr/>
            </w:pPr>
            <w:r w:rsidDel="00000000" w:rsidR="00000000" w:rsidRPr="00000000">
              <w:rPr>
                <w:rtl w:val="0"/>
              </w:rPr>
            </w:r>
          </w:p>
          <w:p w:rsidR="00000000" w:rsidDel="00000000" w:rsidP="00000000" w:rsidRDefault="00000000" w:rsidRPr="00000000" w14:paraId="000000DE">
            <w:pPr>
              <w:ind w:right="284"/>
              <w:rPr/>
            </w:pPr>
            <w:r w:rsidDel="00000000" w:rsidR="00000000" w:rsidRPr="00000000">
              <w:rPr>
                <w:sz w:val="22"/>
                <w:szCs w:val="22"/>
                <w:rtl w:val="0"/>
              </w:rPr>
              <w:t xml:space="preserve">Regulatory framework and prudential measures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ind w:right="284"/>
              <w:rPr/>
            </w:pPr>
            <w:r w:rsidDel="00000000" w:rsidR="00000000" w:rsidRPr="00000000">
              <w:rPr>
                <w:rtl w:val="0"/>
              </w:rPr>
              <w:t xml:space="preserve">Guest lecture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0">
            <w:pPr>
              <w:jc w:val="center"/>
              <w:rPr/>
            </w:pPr>
            <w:r w:rsidDel="00000000" w:rsidR="00000000" w:rsidRPr="00000000">
              <w:rPr>
                <w:rtl w:val="0"/>
              </w:rPr>
              <w:t xml:space="preserve">10</w:t>
            </w:r>
          </w:p>
        </w:tc>
        <w:tc>
          <w:tcPr/>
          <w:p w:rsidR="00000000" w:rsidDel="00000000" w:rsidP="00000000" w:rsidRDefault="00000000" w:rsidRPr="00000000" w14:paraId="000000E1">
            <w:pPr>
              <w:ind w:right="284"/>
              <w:jc w:val="center"/>
              <w:rPr/>
            </w:pPr>
            <w:r w:rsidDel="00000000" w:rsidR="00000000" w:rsidRPr="00000000">
              <w:rPr>
                <w:rtl w:val="0"/>
              </w:rPr>
              <w:t xml:space="preserve">15</w:t>
            </w:r>
            <w:r w:rsidDel="00000000" w:rsidR="00000000" w:rsidRPr="00000000">
              <w:rPr>
                <w:vertAlign w:val="superscript"/>
                <w:rtl w:val="0"/>
              </w:rPr>
              <w:t xml:space="preserve">th</w:t>
            </w:r>
            <w:r w:rsidDel="00000000" w:rsidR="00000000" w:rsidRPr="00000000">
              <w:rPr>
                <w:rtl w:val="0"/>
              </w:rPr>
              <w:t xml:space="preserve"> March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ind w:right="28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284"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Presentations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4">
            <w:pPr>
              <w:jc w:val="center"/>
              <w:rPr/>
            </w:pPr>
            <w:r w:rsidDel="00000000" w:rsidR="00000000" w:rsidRPr="00000000">
              <w:rPr>
                <w:rtl w:val="0"/>
              </w:rPr>
              <w:t xml:space="preserve">11</w:t>
            </w:r>
          </w:p>
        </w:tc>
        <w:tc>
          <w:tcPr/>
          <w:p w:rsidR="00000000" w:rsidDel="00000000" w:rsidP="00000000" w:rsidRDefault="00000000" w:rsidRPr="00000000" w14:paraId="000000E5">
            <w:pPr>
              <w:ind w:right="284"/>
              <w:jc w:val="center"/>
              <w:rPr/>
            </w:pPr>
            <w:r w:rsidDel="00000000" w:rsidR="00000000" w:rsidRPr="00000000">
              <w:rPr>
                <w:rtl w:val="0"/>
              </w:rPr>
              <w:t xml:space="preserve">22</w:t>
            </w:r>
            <w:r w:rsidDel="00000000" w:rsidR="00000000" w:rsidRPr="00000000">
              <w:rPr>
                <w:vertAlign w:val="superscript"/>
                <w:rtl w:val="0"/>
              </w:rPr>
              <w:t xml:space="preserve">nd</w:t>
            </w:r>
            <w:r w:rsidDel="00000000" w:rsidR="00000000" w:rsidRPr="00000000">
              <w:rPr>
                <w:rtl w:val="0"/>
              </w:rPr>
              <w:t xml:space="preserve"> March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ind w:right="28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numPr>
                <w:ilvl w:val="0"/>
                <w:numId w:val="8"/>
              </w:numPr>
              <w:ind w:left="720" w:right="284" w:hanging="360"/>
              <w:rPr/>
            </w:pPr>
            <w:r w:rsidDel="00000000" w:rsidR="00000000" w:rsidRPr="00000000">
              <w:rPr>
                <w:rtl w:val="0"/>
              </w:rPr>
              <w:t xml:space="preserve">Presentations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8">
            <w:pPr>
              <w:jc w:val="center"/>
              <w:rPr/>
            </w:pPr>
            <w:r w:rsidDel="00000000" w:rsidR="00000000" w:rsidRPr="00000000">
              <w:rPr>
                <w:rtl w:val="0"/>
              </w:rPr>
              <w:t xml:space="preserve">12</w:t>
            </w:r>
          </w:p>
        </w:tc>
        <w:tc>
          <w:tcPr/>
          <w:p w:rsidR="00000000" w:rsidDel="00000000" w:rsidP="00000000" w:rsidRDefault="00000000" w:rsidRPr="00000000" w14:paraId="000000E9">
            <w:pPr>
              <w:ind w:right="284"/>
              <w:jc w:val="center"/>
              <w:rPr/>
            </w:pPr>
            <w:r w:rsidDel="00000000" w:rsidR="00000000" w:rsidRPr="00000000">
              <w:rPr>
                <w:rtl w:val="0"/>
              </w:rPr>
              <w:t xml:space="preserve">5</w:t>
            </w:r>
            <w:r w:rsidDel="00000000" w:rsidR="00000000" w:rsidRPr="00000000">
              <w:rPr>
                <w:vertAlign w:val="superscript"/>
                <w:rtl w:val="0"/>
              </w:rPr>
              <w:t xml:space="preserve">th</w:t>
            </w:r>
            <w:r w:rsidDel="00000000" w:rsidR="00000000" w:rsidRPr="00000000">
              <w:rPr>
                <w:rtl w:val="0"/>
              </w:rPr>
              <w:t xml:space="preserve"> April (Bank holiday – session to be recorded)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ind w:right="28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284"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Revision</w:t>
            </w:r>
          </w:p>
          <w:p w:rsidR="00000000" w:rsidDel="00000000" w:rsidP="00000000" w:rsidRDefault="00000000" w:rsidRPr="00000000" w14:paraId="000000EC">
            <w:pPr>
              <w:numPr>
                <w:ilvl w:val="0"/>
                <w:numId w:val="8"/>
              </w:numPr>
              <w:ind w:left="720" w:right="284" w:hanging="360"/>
              <w:rPr/>
            </w:pPr>
            <w:r w:rsidDel="00000000" w:rsidR="00000000" w:rsidRPr="00000000">
              <w:rPr>
                <w:rtl w:val="0"/>
              </w:rPr>
              <w:t xml:space="preserve">Exam format</w:t>
            </w:r>
          </w:p>
        </w:tc>
      </w:tr>
    </w:tbl>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F2">
      <w:pPr>
        <w:rPr>
          <w:rFonts w:ascii="Arial" w:cs="Arial" w:eastAsia="Arial" w:hAnsi="Arial"/>
          <w:b w:val="1"/>
          <w:bCs w:val="1"/>
          <w:sz w:val="22"/>
          <w:szCs w:val="22"/>
          <w:u w:val="single"/>
        </w:rPr>
      </w:pPr>
      <w:r w:rsidDel="00000000" w:rsidR="00000000" w:rsidRPr="00000000">
        <w:rPr>
          <w:rtl w:val="0"/>
        </w:rPr>
      </w:r>
    </w:p>
    <w:p w:rsidR="00000000" w:rsidDel="00000000" w:rsidP="00000000" w:rsidRDefault="00000000" w:rsidRPr="00000000" w14:paraId="000000F3">
      <w:pPr>
        <w:rPr>
          <w:rFonts w:ascii="Arial" w:cs="Arial" w:eastAsia="Arial" w:hAnsi="Arial"/>
          <w:b w:val="1"/>
          <w:bCs w:val="1"/>
          <w:sz w:val="22"/>
          <w:szCs w:val="22"/>
          <w:u w:val="singl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Biographical Note: </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333333"/>
          <w:sz w:val="24"/>
          <w:szCs w:val="24"/>
          <w:highlight w:val="white"/>
          <w:u w:val="none"/>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333333"/>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333333"/>
          <w:sz w:val="24"/>
          <w:szCs w:val="24"/>
          <w:highlight w:val="white"/>
          <w:u w:val="none"/>
          <w:vertAlign w:val="baseline"/>
          <w:rtl w:val="0"/>
        </w:rPr>
        <w:t xml:space="preserve">Dr. Fang Yao is a Senior Economist in the Macro Finance Division at the Central Bank of Ireland. He holds a PhD in Economics from Humboldt University of Berlin.</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333333"/>
          <w:sz w:val="24"/>
          <w:szCs w:val="24"/>
          <w:highlight w:val="white"/>
          <w:u w:val="none"/>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333333"/>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333333"/>
          <w:sz w:val="24"/>
          <w:szCs w:val="24"/>
          <w:highlight w:val="white"/>
          <w:u w:val="none"/>
          <w:vertAlign w:val="baseline"/>
          <w:rtl w:val="0"/>
        </w:rPr>
        <w:t xml:space="preserve">Dr. Yao's primary research focus is on macroeconomics, DSGE modelling, household finance, housing markets, and the impacts of macroprudential policy, examining how regulatory measures affect mortgage lending, house prices, and household resilience. He has published his work in high-quality leading international journals including the Journal of Money, Credit and Banking, Journal of Housing Economics, Macroeconomic Dynamics, International Review of Economics and Finance, and Journal of International Money and Finance, among others. Beyond his academic contributions, Dr. Yao engages with the policy forum, especially central banking,</w:t>
      </w:r>
      <w:r w:rsidDel="00000000" w:rsidR="00000000" w:rsidRPr="00000000">
        <w:rPr>
          <w:rFonts w:ascii="Times New Roman" w:cs="Times New Roman" w:eastAsia="Times New Roman" w:hAnsi="Times New Roman"/>
          <w:b w:val="0"/>
          <w:bCs w:val="0"/>
          <w:i w:val="1"/>
          <w:iCs w:val="1"/>
          <w:smallCaps w:val="0"/>
          <w:strike w:val="0"/>
          <w:color w:val="333333"/>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333333"/>
          <w:sz w:val="24"/>
          <w:szCs w:val="24"/>
          <w:highlight w:val="white"/>
          <w:u w:val="none"/>
          <w:vertAlign w:val="baseline"/>
          <w:rtl w:val="0"/>
        </w:rPr>
        <w:t xml:space="preserve">by producing high-quality and impactful research outputs focusing on the implications of loan-to-value restrictions, mortgage credit conditions, and household financial resilience.</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333333"/>
          <w:sz w:val="24"/>
          <w:szCs w:val="24"/>
          <w:highlight w:val="white"/>
          <w:u w:val="none"/>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1"/>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333333"/>
          <w:sz w:val="24"/>
          <w:szCs w:val="24"/>
          <w:highlight w:val="white"/>
          <w:u w:val="none"/>
          <w:vertAlign w:val="baseline"/>
          <w:rtl w:val="0"/>
        </w:rPr>
        <w:t xml:space="preserve">Prior to joining the Central Bank of Ireland in 2020, Dr. Yao worked as an Economist at the Reserve Bank of New Zealand, where he contributed to central banking analytics, research, and financial stability analysis. He also served as a Lecturer in the Department of Macroeconomics at the University of Erlangen-Nuremberg.</w:t>
      </w: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16"/>
          <w:szCs w:val="16"/>
          <w:u w:val="none"/>
          <w:shd w:fill="auto" w:val="clear"/>
          <w:vertAlign w:val="baseline"/>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DOCPROPERTY "bjHeaderEvenPageDocProperty"</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Central Bank of Ireland - UNRESTRICTED</w:t>
    </w:r>
    <w:r w:rsidDel="00000000" w:rsidR="00000000" w:rsidRPr="00000000">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DOCPROPERTY "bjHeaderFirstPageDocProperty"</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Central Bank of Ireland - UNRESTRICTED</w:t>
    </w:r>
    <w:r w:rsidDel="00000000" w:rsidR="00000000" w:rsidRPr="00000000">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2"/>
      <w:numFmt w:val="decimal"/>
      <w:lvlText w:val="%1."/>
      <w:lvlJc w:val="left"/>
      <w:pPr>
        <w:ind w:left="720" w:hanging="360"/>
      </w:pPr>
      <w:rPr/>
    </w:lvl>
    <w:lvl w:ilvl="1">
      <w:start w:val="1"/>
      <w:numFmt w:val="lowerRoman"/>
      <w:lvlText w:val="%2."/>
      <w:lvlJc w:val="right"/>
      <w:pPr>
        <w:ind w:left="36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IE"/>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b w:val="1"/>
      <w:bCs w:val="1"/>
    </w:rPr>
  </w:style>
  <w:style w:type="paragraph" w:styleId="Heading2">
    <w:name w:val="heading 2"/>
    <w:basedOn w:val="Normal"/>
    <w:next w:val="Normal"/>
    <w:pPr>
      <w:keepNext w:val="1"/>
      <w:jc w:val="center"/>
    </w:pPr>
    <w:rPr>
      <w:b w:val="1"/>
      <w:bCs w:val="1"/>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pPr>
    <w:rPr>
      <w:i w:val="1"/>
      <w:iCs w:val="1"/>
      <w:sz w:val="18"/>
      <w:szCs w:val="18"/>
    </w:rPr>
  </w:style>
  <w:style w:type="paragraph" w:styleId="Heading6">
    <w:name w:val="heading 6"/>
    <w:basedOn w:val="Normal"/>
    <w:next w:val="Normal"/>
    <w:pPr>
      <w:keepNext w:val="1"/>
    </w:pPr>
    <w:rPr>
      <w:i w:val="1"/>
      <w:iCs w:val="1"/>
      <w:sz w:val="16"/>
      <w:szCs w:val="16"/>
    </w:rPr>
  </w:style>
  <w:style w:type="paragraph" w:styleId="Title">
    <w:name w:val="Title"/>
    <w:basedOn w:val="Normal"/>
    <w:next w:val="Normal"/>
    <w:pPr>
      <w:spacing w:after="80" w:lineRule="auto"/>
    </w:pPr>
    <w:rPr>
      <w:rFonts w:ascii="Calibri" w:cs="Calibri" w:eastAsia="Calibri" w:hAnsi="Calibri"/>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tcd.ie/undergraduate-studies/academic-progress/attendance-course-work.php" TargetMode="External"/><Relationship Id="rId8" Type="http://schemas.openxmlformats.org/officeDocument/2006/relationships/hyperlink" Target="https://libguides.tcd.ie/academic-integrity/ready-steady-writ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bjHeaderEvenPageDocProperty">
    <vt:lpwstr>Central Bank of Ireland - UNRESTRICTED</vt:lpwstr>
  </property>
  <property fmtid="{D5CDD505-2E9C-101B-9397-08002B2CF9AE}" pid="3" name="bjHeaderBothDocProperty">
    <vt:lpwstr>Central Bank of Ireland - UNRESTRICTED</vt:lpwstr>
  </property>
  <property fmtid="{D5CDD505-2E9C-101B-9397-08002B2CF9AE}" pid="4" name="bjHeaderFirstPageDocProperty">
    <vt:lpwstr>Central Bank of Ireland - UNRESTRICTED</vt:lpwstr>
  </property>
  <property fmtid="{D5CDD505-2E9C-101B-9397-08002B2CF9AE}" pid="5" name="_DocHome">
    <vt:lpwstr>1889200192</vt:lpwstr>
  </property>
  <property fmtid="{D5CDD505-2E9C-101B-9397-08002B2CF9AE}" pid="6" name="docIndexRef">
    <vt:lpwstr>1a2d253e-d134-4a41-8a20-c1ff20f619c5</vt:lpwstr>
  </property>
  <property fmtid="{D5CDD505-2E9C-101B-9397-08002B2CF9AE}" pid="7" name="bjSaver">
    <vt:lpwstr>cBY1RYcpd6N3sRo91bPdD+US8t2vjZxx</vt:lpwstr>
  </property>
  <property fmtid="{D5CDD505-2E9C-101B-9397-08002B2CF9AE}" pid="8"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9" name="bjDocumentLabelXML-0">
    <vt:lpwstr>ames.com/2008/01/sie/internal/label"&gt;&lt;element uid="id_classification_nonbusiness" value="" /&gt;&lt;/sisl&gt;</vt:lpwstr>
  </property>
  <property fmtid="{D5CDD505-2E9C-101B-9397-08002B2CF9AE}" pid="10" name="bjDocumentSecurityLabel">
    <vt:lpwstr>Unrestricted</vt:lpwstr>
  </property>
  <property fmtid="{D5CDD505-2E9C-101B-9397-08002B2CF9AE}" pid="11" name="bjClsUserRVM">
    <vt:lpwstr>[]</vt:lpwstr>
  </property>
  <property fmtid="{D5CDD505-2E9C-101B-9397-08002B2CF9AE}" pid="12" name="bjpmDocIH">
    <vt:lpwstr>IaBSIENL6Pngj9IlfhJvLMkB3t4WKZGu</vt:lpwstr>
  </property>
  <property fmtid="{D5CDD505-2E9C-101B-9397-08002B2CF9AE}" pid="13" name="_NewReviewCycle">
    <vt:lpwstr>_NewReviewCycle</vt:lpwstr>
  </property>
  <property fmtid="{D5CDD505-2E9C-101B-9397-08002B2CF9AE}" pid="14" name="_AdHocReviewCycleID">
    <vt:lpwstr>-176969025</vt:lpwstr>
  </property>
  <property fmtid="{D5CDD505-2E9C-101B-9397-08002B2CF9AE}" pid="15" name="_EmailSubject">
    <vt:lpwstr>_EmailSubject</vt:lpwstr>
  </property>
  <property fmtid="{D5CDD505-2E9C-101B-9397-08002B2CF9AE}" pid="16" name="_AuthorEmail">
    <vt:lpwstr>fang.yao@centralbank.ie</vt:lpwstr>
  </property>
  <property fmtid="{D5CDD505-2E9C-101B-9397-08002B2CF9AE}" pid="17" name="_AuthorEmailDisplayName">
    <vt:lpwstr>Yao, Fang</vt:lpwstr>
  </property>
</Properties>
</file>