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592B50" w:rsidRDefault="008D6D65" w:rsidP="00D6718A">
      <w:pPr>
        <w:pBdr>
          <w:bottom w:val="single" w:sz="12" w:space="1" w:color="auto"/>
        </w:pBdr>
        <w:ind w:left="1418" w:hanging="1418"/>
        <w:jc w:val="both"/>
        <w:rPr>
          <w:b/>
        </w:rPr>
      </w:pPr>
      <w:r w:rsidRPr="00592B50">
        <w:rPr>
          <w:b/>
        </w:rPr>
        <w:t xml:space="preserve"> </w:t>
      </w:r>
      <w:r w:rsidR="00D6718A" w:rsidRPr="00592B50">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592B50" w:rsidRDefault="00D6718A" w:rsidP="00D6718A">
      <w:pPr>
        <w:rPr>
          <w:b/>
        </w:rPr>
      </w:pPr>
    </w:p>
    <w:p w14:paraId="77D199BC" w14:textId="77777777" w:rsidR="00D6718A" w:rsidRPr="00592B50" w:rsidRDefault="00D6718A" w:rsidP="00D6718A">
      <w:pPr>
        <w:jc w:val="center"/>
        <w:rPr>
          <w:b/>
        </w:rPr>
      </w:pPr>
      <w:r w:rsidRPr="00592B50">
        <w:rPr>
          <w:b/>
        </w:rPr>
        <w:t>Trinity Business School</w:t>
      </w:r>
    </w:p>
    <w:p w14:paraId="22F7A018" w14:textId="77777777" w:rsidR="00AA00B2" w:rsidRPr="00592B50" w:rsidRDefault="00AA00B2" w:rsidP="00D6718A">
      <w:pPr>
        <w:jc w:val="center"/>
        <w:rPr>
          <w:b/>
        </w:rPr>
      </w:pPr>
    </w:p>
    <w:p w14:paraId="40F43887" w14:textId="3B6E95B1" w:rsidR="00953873" w:rsidRPr="00592B50" w:rsidRDefault="00953873" w:rsidP="00CA71E4">
      <w:pPr>
        <w:pStyle w:val="Heading1"/>
        <w:jc w:val="center"/>
      </w:pPr>
      <w:r w:rsidRPr="00592B50">
        <w:t>Financial Accounting I</w:t>
      </w:r>
      <w:r w:rsidR="00CF210B" w:rsidRPr="00592B50">
        <w:t>I</w:t>
      </w:r>
    </w:p>
    <w:p w14:paraId="1FEF455D" w14:textId="1337368D" w:rsidR="00D6718A" w:rsidRPr="00592B50" w:rsidRDefault="009435AD" w:rsidP="00CA71E4">
      <w:pPr>
        <w:pStyle w:val="Heading1"/>
        <w:jc w:val="center"/>
      </w:pPr>
      <w:r w:rsidRPr="00592B50">
        <w:t>202</w:t>
      </w:r>
      <w:r w:rsidR="00635B07">
        <w:t>6</w:t>
      </w:r>
      <w:r w:rsidRPr="00592B50">
        <w:t>/2</w:t>
      </w:r>
      <w:r w:rsidR="00635B07">
        <w:t>7</w:t>
      </w:r>
    </w:p>
    <w:p w14:paraId="71B20592" w14:textId="558C995D" w:rsidR="009435AD" w:rsidRPr="00592B50" w:rsidRDefault="009435AD" w:rsidP="009435AD"/>
    <w:p w14:paraId="0DE47136" w14:textId="0FD7D1BA" w:rsidR="009435AD" w:rsidRPr="00592B50" w:rsidRDefault="009435AD" w:rsidP="009435AD"/>
    <w:p w14:paraId="335BBED4" w14:textId="571B0435" w:rsidR="00B47BFF" w:rsidRPr="00592B50" w:rsidRDefault="00B47BFF" w:rsidP="00B47BFF">
      <w:pPr>
        <w:pStyle w:val="Heading1"/>
        <w:rPr>
          <w:b w:val="0"/>
          <w:bCs w:val="0"/>
        </w:rPr>
      </w:pPr>
      <w:r w:rsidRPr="00592B50">
        <w:t xml:space="preserve">MODULE CODE: </w:t>
      </w:r>
      <w:r w:rsidRPr="00592B50">
        <w:tab/>
      </w:r>
      <w:r w:rsidRPr="00592B50">
        <w:tab/>
      </w:r>
      <w:r w:rsidRPr="00592B50">
        <w:rPr>
          <w:b w:val="0"/>
          <w:bCs w:val="0"/>
        </w:rPr>
        <w:t>BUU33532</w:t>
      </w:r>
    </w:p>
    <w:p w14:paraId="61B48EAD" w14:textId="6D087C7E" w:rsidR="00B47BFF" w:rsidRPr="00592B50" w:rsidRDefault="00B47BFF" w:rsidP="00B47BFF">
      <w:pPr>
        <w:pStyle w:val="Heading1"/>
      </w:pPr>
      <w:r w:rsidRPr="00592B50">
        <w:t>MODULE NAME:</w:t>
      </w:r>
      <w:r w:rsidRPr="00592B50">
        <w:tab/>
      </w:r>
      <w:r w:rsidRPr="00592B50">
        <w:tab/>
      </w:r>
      <w:r w:rsidRPr="00592B50">
        <w:rPr>
          <w:b w:val="0"/>
          <w:bCs w:val="0"/>
        </w:rPr>
        <w:t>Financial Accounting II</w:t>
      </w:r>
    </w:p>
    <w:p w14:paraId="66D25D82" w14:textId="77777777" w:rsidR="00B47BFF" w:rsidRPr="00592B50" w:rsidRDefault="00B47BFF" w:rsidP="00B47BFF">
      <w:pPr>
        <w:pStyle w:val="CommentText"/>
        <w:rPr>
          <w:b/>
        </w:rPr>
      </w:pPr>
      <w:r w:rsidRPr="00592B50">
        <w:rPr>
          <w:b/>
        </w:rPr>
        <w:t xml:space="preserve">ECTS:  </w:t>
      </w:r>
      <w:r w:rsidRPr="00592B50">
        <w:rPr>
          <w:b/>
        </w:rPr>
        <w:tab/>
      </w:r>
      <w:r w:rsidRPr="00592B50">
        <w:rPr>
          <w:b/>
        </w:rPr>
        <w:tab/>
      </w:r>
      <w:r w:rsidRPr="00592B50">
        <w:rPr>
          <w:b/>
        </w:rPr>
        <w:tab/>
      </w:r>
      <w:r w:rsidRPr="00592B50">
        <w:rPr>
          <w:bCs/>
        </w:rPr>
        <w:t>5 ECTS</w:t>
      </w:r>
    </w:p>
    <w:p w14:paraId="2F5A3C30" w14:textId="77777777" w:rsidR="00B47BFF" w:rsidRPr="00592B50" w:rsidRDefault="00B47BFF" w:rsidP="00B47BFF">
      <w:pPr>
        <w:pStyle w:val="Heading1"/>
      </w:pPr>
    </w:p>
    <w:p w14:paraId="33C3CFDC" w14:textId="6C1540E4" w:rsidR="00B47BFF" w:rsidRPr="00592B50" w:rsidRDefault="00B47BFF" w:rsidP="00B47BFF">
      <w:pPr>
        <w:pStyle w:val="Heading1"/>
      </w:pPr>
      <w:r w:rsidRPr="00592B50">
        <w:t>Lecturer:</w:t>
      </w:r>
      <w:r w:rsidRPr="00592B50">
        <w:tab/>
      </w:r>
      <w:r w:rsidRPr="00592B50">
        <w:tab/>
      </w:r>
      <w:r w:rsidRPr="00592B50">
        <w:tab/>
      </w:r>
      <w:r w:rsidR="00635B07">
        <w:rPr>
          <w:b w:val="0"/>
          <w:bCs w:val="0"/>
        </w:rPr>
        <w:t>Amanda Roe</w:t>
      </w:r>
      <w:r w:rsidRPr="00592B50">
        <w:tab/>
      </w:r>
    </w:p>
    <w:p w14:paraId="7A09FD44" w14:textId="1E356BB5" w:rsidR="00B47BFF" w:rsidRDefault="00B47BFF" w:rsidP="00B47BFF">
      <w:pPr>
        <w:pStyle w:val="Heading2"/>
        <w:jc w:val="left"/>
        <w:rPr>
          <w:b w:val="0"/>
          <w:bCs w:val="0"/>
        </w:rPr>
      </w:pPr>
      <w:r w:rsidRPr="00592B50">
        <w:t>Office hours:</w:t>
      </w:r>
      <w:r w:rsidRPr="00592B50">
        <w:tab/>
      </w:r>
      <w:r w:rsidRPr="00592B50">
        <w:tab/>
      </w:r>
      <w:r w:rsidRPr="00592B50">
        <w:tab/>
      </w:r>
      <w:r w:rsidR="00635B07">
        <w:rPr>
          <w:b w:val="0"/>
          <w:bCs w:val="0"/>
        </w:rPr>
        <w:t>amroe</w:t>
      </w:r>
      <w:r w:rsidR="00635F54">
        <w:rPr>
          <w:b w:val="0"/>
          <w:bCs w:val="0"/>
        </w:rPr>
        <w:t>@tcd.ie</w:t>
      </w:r>
      <w:r w:rsidRPr="00592B50">
        <w:rPr>
          <w:b w:val="0"/>
          <w:bCs w:val="0"/>
        </w:rPr>
        <w:t xml:space="preserve"> (Please email to make an appointment)</w:t>
      </w:r>
    </w:p>
    <w:p w14:paraId="681E217A" w14:textId="44E8DAFD" w:rsidR="00087558" w:rsidRPr="00087558" w:rsidRDefault="00087558" w:rsidP="00087558">
      <w:r>
        <w:tab/>
      </w:r>
      <w:r>
        <w:tab/>
      </w:r>
      <w:r>
        <w:tab/>
      </w:r>
      <w:r>
        <w:tab/>
      </w:r>
      <w:r w:rsidRPr="00087558">
        <w:rPr>
          <w:highlight w:val="yellow"/>
        </w:rPr>
        <w:t>TA Required</w:t>
      </w:r>
      <w:r>
        <w:t xml:space="preserve"> </w:t>
      </w:r>
    </w:p>
    <w:p w14:paraId="7215089F" w14:textId="2BF8BAEB" w:rsidR="00193AA7" w:rsidRPr="00592B50" w:rsidRDefault="00193AA7" w:rsidP="00D6718A">
      <w:pPr>
        <w:ind w:left="2127" w:hanging="2127"/>
        <w:rPr>
          <w:b/>
        </w:rPr>
      </w:pPr>
    </w:p>
    <w:p w14:paraId="035B352A" w14:textId="77777777" w:rsidR="00D6718A" w:rsidRPr="00592B50" w:rsidRDefault="00D6718A" w:rsidP="00D6718A">
      <w:pPr>
        <w:pStyle w:val="Heading1"/>
      </w:pPr>
      <w:r w:rsidRPr="00592B50">
        <w:t xml:space="preserve">MODULE DESCRIPTION </w:t>
      </w:r>
    </w:p>
    <w:p w14:paraId="0A0A9C21" w14:textId="77777777" w:rsidR="00B47BFF" w:rsidRPr="00894FEA" w:rsidRDefault="00B47BFF" w:rsidP="00B47BFF">
      <w:pPr>
        <w:jc w:val="both"/>
        <w:rPr>
          <w:b/>
          <w:bCs/>
          <w:u w:val="single"/>
        </w:rPr>
      </w:pPr>
      <w:r w:rsidRPr="00894FEA">
        <w:rPr>
          <w:rFonts w:eastAsia="Arial"/>
          <w:b/>
          <w:bCs/>
          <w:u w:val="single"/>
        </w:rPr>
        <w:t>International Accounting Standards</w:t>
      </w:r>
    </w:p>
    <w:p w14:paraId="3F6A25AF" w14:textId="64B003B0" w:rsidR="00894FEA" w:rsidRPr="00894FEA" w:rsidRDefault="00894FEA" w:rsidP="00894FEA">
      <w:pPr>
        <w:jc w:val="both"/>
        <w:rPr>
          <w:rFonts w:eastAsia="Arial"/>
        </w:rPr>
      </w:pPr>
      <w:r w:rsidRPr="00894FEA">
        <w:rPr>
          <w:rFonts w:eastAsia="Arial"/>
        </w:rPr>
        <w:t xml:space="preserve">This module </w:t>
      </w:r>
      <w:r>
        <w:rPr>
          <w:rFonts w:eastAsia="Arial"/>
        </w:rPr>
        <w:t>focuses on</w:t>
      </w:r>
      <w:r w:rsidRPr="00894FEA">
        <w:rPr>
          <w:rFonts w:eastAsia="Arial"/>
        </w:rPr>
        <w:t xml:space="preserve"> the international accounting standards, providing both theoretical insights and practical applications. It aims to deepen the understanding of financial accounting concepts and techniques by offering a rigorous and expanded framework for the preparation and analysis of financial statements.</w:t>
      </w:r>
    </w:p>
    <w:p w14:paraId="0BD32B3B" w14:textId="77777777" w:rsidR="00894FEA" w:rsidRDefault="00894FEA" w:rsidP="00894FEA">
      <w:pPr>
        <w:jc w:val="both"/>
        <w:rPr>
          <w:rFonts w:eastAsia="Arial"/>
        </w:rPr>
      </w:pPr>
    </w:p>
    <w:p w14:paraId="6634799F" w14:textId="4F8A6861" w:rsidR="00894FEA" w:rsidRPr="00894FEA" w:rsidRDefault="00894FEA" w:rsidP="00894FEA">
      <w:pPr>
        <w:jc w:val="both"/>
        <w:rPr>
          <w:rFonts w:eastAsia="Arial"/>
        </w:rPr>
      </w:pPr>
      <w:r w:rsidRPr="00894FEA">
        <w:rPr>
          <w:rFonts w:eastAsia="Arial"/>
        </w:rPr>
        <w:t>Students will explore the major elements of measurement, recognition, and disclosure in contemporary financial reporting. Emphasis is placed on understanding how these elements are applied within international accounting standards, allowing students to critically evaluate and apply these principles in various business contexts.</w:t>
      </w:r>
    </w:p>
    <w:p w14:paraId="2E001483" w14:textId="77777777" w:rsidR="00894FEA" w:rsidRDefault="00894FEA" w:rsidP="00894FEA">
      <w:pPr>
        <w:jc w:val="both"/>
        <w:rPr>
          <w:rFonts w:eastAsia="Arial"/>
        </w:rPr>
      </w:pPr>
    </w:p>
    <w:p w14:paraId="062ABACE" w14:textId="4FE20C56" w:rsidR="00894FEA" w:rsidRPr="00894FEA" w:rsidRDefault="00894FEA" w:rsidP="00894FEA">
      <w:pPr>
        <w:jc w:val="both"/>
        <w:rPr>
          <w:rFonts w:eastAsia="Arial"/>
        </w:rPr>
      </w:pPr>
      <w:r w:rsidRPr="00894FEA">
        <w:rPr>
          <w:rFonts w:eastAsia="Arial"/>
        </w:rPr>
        <w:t>Through a combination of lectures, case studies, and practical exercises, students will gain a comprehensive understanding of how these standards influence financial reporting on a global scale.</w:t>
      </w:r>
    </w:p>
    <w:p w14:paraId="5F508408" w14:textId="77777777" w:rsidR="00894FEA" w:rsidRDefault="00894FEA" w:rsidP="00894FEA">
      <w:pPr>
        <w:jc w:val="both"/>
        <w:rPr>
          <w:rFonts w:eastAsia="Arial"/>
        </w:rPr>
      </w:pPr>
    </w:p>
    <w:p w14:paraId="304D35D9" w14:textId="541FB430" w:rsidR="00894FEA" w:rsidRPr="00894FEA" w:rsidRDefault="00894FEA" w:rsidP="00894FEA">
      <w:pPr>
        <w:jc w:val="both"/>
        <w:rPr>
          <w:rFonts w:eastAsia="Arial"/>
        </w:rPr>
      </w:pPr>
      <w:r w:rsidRPr="00894FEA">
        <w:rPr>
          <w:rFonts w:eastAsia="Arial"/>
        </w:rPr>
        <w:t>By the end of the course, students will be equipped with the skills necessary to analyze and prepare financial statements in accordance with international standards, providing a strong foundation for advanced study and professional practice in accounting.</w:t>
      </w:r>
    </w:p>
    <w:p w14:paraId="2A976A1F" w14:textId="2EE604A5" w:rsidR="00B47BFF" w:rsidRPr="00592B50" w:rsidRDefault="00B47BFF" w:rsidP="00B47BFF">
      <w:pPr>
        <w:jc w:val="both"/>
      </w:pPr>
    </w:p>
    <w:p w14:paraId="0DCEF5F1" w14:textId="77777777" w:rsidR="00B47BFF" w:rsidRDefault="00B47BFF" w:rsidP="00B47BFF">
      <w:pPr>
        <w:jc w:val="both"/>
        <w:rPr>
          <w:rFonts w:eastAsia="Arial"/>
        </w:rPr>
      </w:pPr>
      <w:r w:rsidRPr="00592B50">
        <w:rPr>
          <w:rFonts w:eastAsia="Arial"/>
        </w:rPr>
        <w:lastRenderedPageBreak/>
        <w:t>The standards proposed for study on the course are set out below; as we progress through the module this list may be subject to change.</w:t>
      </w:r>
    </w:p>
    <w:p w14:paraId="0CA9CAE4" w14:textId="77777777" w:rsidR="00592B50" w:rsidRDefault="00592B50" w:rsidP="00B47BFF">
      <w:pPr>
        <w:jc w:val="both"/>
        <w:rPr>
          <w:rFonts w:eastAsia="Arial"/>
        </w:rPr>
      </w:pPr>
    </w:p>
    <w:tbl>
      <w:tblPr>
        <w:tblStyle w:val="TableGrid"/>
        <w:tblW w:w="0" w:type="auto"/>
        <w:tblInd w:w="0" w:type="dxa"/>
        <w:tblLook w:val="04A0" w:firstRow="1" w:lastRow="0" w:firstColumn="1" w:lastColumn="0" w:noHBand="0" w:noVBand="1"/>
      </w:tblPr>
      <w:tblGrid>
        <w:gridCol w:w="1555"/>
        <w:gridCol w:w="7795"/>
      </w:tblGrid>
      <w:tr w:rsidR="00592B50" w14:paraId="79B0B4C8" w14:textId="77777777" w:rsidTr="00592B50">
        <w:tc>
          <w:tcPr>
            <w:tcW w:w="1555" w:type="dxa"/>
          </w:tcPr>
          <w:p w14:paraId="3B5825C2" w14:textId="27E79FFF" w:rsidR="00592B50" w:rsidRDefault="00592B50" w:rsidP="00B47BFF">
            <w:pPr>
              <w:jc w:val="both"/>
            </w:pPr>
            <w:r>
              <w:t xml:space="preserve">IAS 1 </w:t>
            </w:r>
          </w:p>
        </w:tc>
        <w:tc>
          <w:tcPr>
            <w:tcW w:w="7795" w:type="dxa"/>
          </w:tcPr>
          <w:p w14:paraId="3FAD62B6" w14:textId="2EEBB54D" w:rsidR="00592B50" w:rsidRDefault="00592B50" w:rsidP="00B47BFF">
            <w:pPr>
              <w:jc w:val="both"/>
            </w:pPr>
            <w:r w:rsidRPr="00592B50">
              <w:rPr>
                <w:rFonts w:eastAsia="Arial"/>
              </w:rPr>
              <w:t>Presentation of Financial Statements</w:t>
            </w:r>
          </w:p>
        </w:tc>
      </w:tr>
      <w:tr w:rsidR="00592B50" w14:paraId="25488744" w14:textId="77777777" w:rsidTr="00592B50">
        <w:tc>
          <w:tcPr>
            <w:tcW w:w="1555" w:type="dxa"/>
          </w:tcPr>
          <w:p w14:paraId="0B14669A" w14:textId="70E8BCBD" w:rsidR="00592B50" w:rsidRDefault="00592B50" w:rsidP="00B47BFF">
            <w:pPr>
              <w:jc w:val="both"/>
            </w:pPr>
            <w:r>
              <w:t xml:space="preserve">IAS 2 </w:t>
            </w:r>
          </w:p>
        </w:tc>
        <w:tc>
          <w:tcPr>
            <w:tcW w:w="7795" w:type="dxa"/>
          </w:tcPr>
          <w:p w14:paraId="28B0E4DC" w14:textId="60E234DD" w:rsidR="00592B50" w:rsidRDefault="00592B50" w:rsidP="00B47BFF">
            <w:pPr>
              <w:jc w:val="both"/>
            </w:pPr>
            <w:r>
              <w:t xml:space="preserve">Inventories (Covered in FA1) </w:t>
            </w:r>
          </w:p>
        </w:tc>
      </w:tr>
      <w:tr w:rsidR="00592B50" w14:paraId="577E4DE2" w14:textId="77777777" w:rsidTr="00592B50">
        <w:tc>
          <w:tcPr>
            <w:tcW w:w="1555" w:type="dxa"/>
          </w:tcPr>
          <w:p w14:paraId="6A7A1025" w14:textId="54C8E64D" w:rsidR="00592B50" w:rsidRDefault="00592B50" w:rsidP="00B47BFF">
            <w:pPr>
              <w:jc w:val="both"/>
            </w:pPr>
            <w:r>
              <w:t>IAS 8</w:t>
            </w:r>
          </w:p>
        </w:tc>
        <w:tc>
          <w:tcPr>
            <w:tcW w:w="7795" w:type="dxa"/>
          </w:tcPr>
          <w:p w14:paraId="67CA507A" w14:textId="7B319DA4" w:rsidR="00592B50" w:rsidRDefault="00592B50" w:rsidP="00B47BFF">
            <w:pPr>
              <w:jc w:val="both"/>
            </w:pPr>
            <w:r w:rsidRPr="00592B50">
              <w:rPr>
                <w:rFonts w:eastAsia="Arial"/>
              </w:rPr>
              <w:t>Accounting Policies, Changes in Accounting Estimates and</w:t>
            </w:r>
            <w:r>
              <w:rPr>
                <w:rFonts w:eastAsia="Arial"/>
              </w:rPr>
              <w:t xml:space="preserve"> Errors (covered in BUU22530)</w:t>
            </w:r>
          </w:p>
        </w:tc>
      </w:tr>
      <w:tr w:rsidR="00592B50" w14:paraId="2AEB296D" w14:textId="77777777" w:rsidTr="00592B50">
        <w:tc>
          <w:tcPr>
            <w:tcW w:w="1555" w:type="dxa"/>
          </w:tcPr>
          <w:p w14:paraId="237EB0B8" w14:textId="4A264EF5" w:rsidR="00592B50" w:rsidRDefault="00592B50" w:rsidP="00B47BFF">
            <w:pPr>
              <w:jc w:val="both"/>
            </w:pPr>
            <w:r>
              <w:t xml:space="preserve">IAS 16 </w:t>
            </w:r>
          </w:p>
        </w:tc>
        <w:tc>
          <w:tcPr>
            <w:tcW w:w="7795" w:type="dxa"/>
          </w:tcPr>
          <w:p w14:paraId="4E4E3F9C" w14:textId="1448A57C" w:rsidR="00592B50" w:rsidRDefault="00592B50" w:rsidP="00B47BFF">
            <w:pPr>
              <w:jc w:val="both"/>
            </w:pPr>
            <w:r w:rsidRPr="00592B50">
              <w:rPr>
                <w:rFonts w:eastAsia="Arial"/>
              </w:rPr>
              <w:t>Property, Plant and Equipment (covered in FA1)</w:t>
            </w:r>
          </w:p>
        </w:tc>
      </w:tr>
      <w:tr w:rsidR="00592B50" w14:paraId="5F31F766" w14:textId="77777777" w:rsidTr="00592B50">
        <w:tc>
          <w:tcPr>
            <w:tcW w:w="1555" w:type="dxa"/>
          </w:tcPr>
          <w:p w14:paraId="1AA107B4" w14:textId="671297EE" w:rsidR="00592B50" w:rsidRDefault="00592B50" w:rsidP="00B47BFF">
            <w:pPr>
              <w:jc w:val="both"/>
            </w:pPr>
            <w:r>
              <w:t xml:space="preserve">IAS 20 </w:t>
            </w:r>
          </w:p>
        </w:tc>
        <w:tc>
          <w:tcPr>
            <w:tcW w:w="7795" w:type="dxa"/>
          </w:tcPr>
          <w:p w14:paraId="2EB13459" w14:textId="0298FA3F" w:rsidR="00592B50" w:rsidRDefault="00592B50" w:rsidP="00B47BFF">
            <w:pPr>
              <w:jc w:val="both"/>
            </w:pPr>
            <w:r>
              <w:t xml:space="preserve">Government Grants </w:t>
            </w:r>
          </w:p>
        </w:tc>
      </w:tr>
      <w:tr w:rsidR="00592B50" w14:paraId="0FB5B29A" w14:textId="77777777" w:rsidTr="00592B50">
        <w:tc>
          <w:tcPr>
            <w:tcW w:w="1555" w:type="dxa"/>
          </w:tcPr>
          <w:p w14:paraId="1AECDF52" w14:textId="07557064" w:rsidR="00592B50" w:rsidRDefault="00592B50" w:rsidP="00B47BFF">
            <w:pPr>
              <w:jc w:val="both"/>
            </w:pPr>
            <w:r>
              <w:t xml:space="preserve">IAS 23 </w:t>
            </w:r>
          </w:p>
        </w:tc>
        <w:tc>
          <w:tcPr>
            <w:tcW w:w="7795" w:type="dxa"/>
          </w:tcPr>
          <w:p w14:paraId="0C400969" w14:textId="7BD56C05" w:rsidR="00592B50" w:rsidRDefault="00592B50" w:rsidP="00B47BFF">
            <w:pPr>
              <w:jc w:val="both"/>
            </w:pPr>
            <w:r w:rsidRPr="00592B50">
              <w:rPr>
                <w:rFonts w:eastAsia="Arial"/>
              </w:rPr>
              <w:t>Borrowing Costs</w:t>
            </w:r>
          </w:p>
        </w:tc>
      </w:tr>
      <w:tr w:rsidR="00592B50" w14:paraId="13D6853C" w14:textId="77777777" w:rsidTr="00592B50">
        <w:tc>
          <w:tcPr>
            <w:tcW w:w="1555" w:type="dxa"/>
          </w:tcPr>
          <w:p w14:paraId="48916CED" w14:textId="7D5F50FC" w:rsidR="00592B50" w:rsidRDefault="00592B50" w:rsidP="00B47BFF">
            <w:pPr>
              <w:jc w:val="both"/>
            </w:pPr>
            <w:r>
              <w:t>IAS 36</w:t>
            </w:r>
          </w:p>
        </w:tc>
        <w:tc>
          <w:tcPr>
            <w:tcW w:w="7795" w:type="dxa"/>
          </w:tcPr>
          <w:p w14:paraId="0E0C95AB" w14:textId="28AEEF1F" w:rsidR="00592B50" w:rsidRDefault="00592B50" w:rsidP="00B47BFF">
            <w:pPr>
              <w:jc w:val="both"/>
            </w:pPr>
            <w:r w:rsidRPr="00592B50">
              <w:rPr>
                <w:rFonts w:eastAsia="Arial"/>
              </w:rPr>
              <w:t>Impairment of Assets</w:t>
            </w:r>
          </w:p>
        </w:tc>
      </w:tr>
      <w:tr w:rsidR="00592B50" w14:paraId="5FBF6060" w14:textId="77777777" w:rsidTr="000455A2">
        <w:tc>
          <w:tcPr>
            <w:tcW w:w="1555" w:type="dxa"/>
          </w:tcPr>
          <w:p w14:paraId="74A31196" w14:textId="77777777" w:rsidR="00592B50" w:rsidRDefault="00592B50" w:rsidP="000455A2">
            <w:pPr>
              <w:jc w:val="both"/>
            </w:pPr>
            <w:r>
              <w:t>IAS 38</w:t>
            </w:r>
          </w:p>
        </w:tc>
        <w:tc>
          <w:tcPr>
            <w:tcW w:w="7795" w:type="dxa"/>
          </w:tcPr>
          <w:p w14:paraId="2EE69A6F" w14:textId="77777777" w:rsidR="00592B50" w:rsidRDefault="00592B50" w:rsidP="000455A2">
            <w:pPr>
              <w:jc w:val="both"/>
            </w:pPr>
            <w:r>
              <w:t xml:space="preserve">Intangible Assets </w:t>
            </w:r>
          </w:p>
        </w:tc>
      </w:tr>
      <w:tr w:rsidR="00592B50" w14:paraId="217F5E07" w14:textId="77777777" w:rsidTr="00592B50">
        <w:tc>
          <w:tcPr>
            <w:tcW w:w="1555" w:type="dxa"/>
          </w:tcPr>
          <w:p w14:paraId="7B76252D" w14:textId="235EE301" w:rsidR="00592B50" w:rsidRDefault="00592B50" w:rsidP="00B47BFF">
            <w:pPr>
              <w:jc w:val="both"/>
            </w:pPr>
            <w:r>
              <w:t xml:space="preserve">IAS 40 </w:t>
            </w:r>
          </w:p>
        </w:tc>
        <w:tc>
          <w:tcPr>
            <w:tcW w:w="7795" w:type="dxa"/>
          </w:tcPr>
          <w:p w14:paraId="7E7D219C" w14:textId="72FFBFFD" w:rsidR="00592B50" w:rsidRDefault="00592B50" w:rsidP="00B47BFF">
            <w:pPr>
              <w:jc w:val="both"/>
            </w:pPr>
            <w:r>
              <w:t xml:space="preserve">Investment Property </w:t>
            </w:r>
          </w:p>
        </w:tc>
      </w:tr>
      <w:tr w:rsidR="00592B50" w14:paraId="28A89D49" w14:textId="77777777" w:rsidTr="00592B50">
        <w:tc>
          <w:tcPr>
            <w:tcW w:w="1555" w:type="dxa"/>
          </w:tcPr>
          <w:p w14:paraId="193F9BC4" w14:textId="1C05DAA5" w:rsidR="00592B50" w:rsidRDefault="00592B50" w:rsidP="00B47BFF">
            <w:pPr>
              <w:jc w:val="both"/>
            </w:pPr>
            <w:r>
              <w:t xml:space="preserve">IFRS 3 </w:t>
            </w:r>
          </w:p>
        </w:tc>
        <w:tc>
          <w:tcPr>
            <w:tcW w:w="7795" w:type="dxa"/>
          </w:tcPr>
          <w:p w14:paraId="384776E2" w14:textId="52B28C4F" w:rsidR="00592B50" w:rsidRDefault="00592B50" w:rsidP="00B47BFF">
            <w:pPr>
              <w:jc w:val="both"/>
            </w:pPr>
            <w:r>
              <w:t xml:space="preserve">Business Combinations </w:t>
            </w:r>
          </w:p>
        </w:tc>
      </w:tr>
      <w:tr w:rsidR="00592B50" w14:paraId="238B508D" w14:textId="77777777" w:rsidTr="00592B50">
        <w:tc>
          <w:tcPr>
            <w:tcW w:w="1555" w:type="dxa"/>
          </w:tcPr>
          <w:p w14:paraId="24AD498B" w14:textId="2E31602D" w:rsidR="00592B50" w:rsidRDefault="00592B50" w:rsidP="00B47BFF">
            <w:pPr>
              <w:jc w:val="both"/>
            </w:pPr>
            <w:r>
              <w:t xml:space="preserve">IFRS 10 </w:t>
            </w:r>
          </w:p>
        </w:tc>
        <w:tc>
          <w:tcPr>
            <w:tcW w:w="7795" w:type="dxa"/>
          </w:tcPr>
          <w:p w14:paraId="26EB14D7" w14:textId="5493367C" w:rsidR="00592B50" w:rsidRDefault="00592B50" w:rsidP="00B47BFF">
            <w:pPr>
              <w:jc w:val="both"/>
            </w:pPr>
            <w:r w:rsidRPr="00592B50">
              <w:rPr>
                <w:rFonts w:eastAsia="Arial"/>
              </w:rPr>
              <w:t>Consolidated Financial Statements</w:t>
            </w:r>
          </w:p>
        </w:tc>
      </w:tr>
      <w:tr w:rsidR="00592B50" w14:paraId="0EBC8EC2" w14:textId="77777777" w:rsidTr="00592B50">
        <w:tc>
          <w:tcPr>
            <w:tcW w:w="1555" w:type="dxa"/>
          </w:tcPr>
          <w:p w14:paraId="534C70AA" w14:textId="760DC7C4" w:rsidR="00592B50" w:rsidRDefault="00592B50" w:rsidP="00B47BFF">
            <w:pPr>
              <w:jc w:val="both"/>
            </w:pPr>
            <w:r>
              <w:t xml:space="preserve">IFRS 16 </w:t>
            </w:r>
          </w:p>
        </w:tc>
        <w:tc>
          <w:tcPr>
            <w:tcW w:w="7795" w:type="dxa"/>
          </w:tcPr>
          <w:p w14:paraId="368B07F2" w14:textId="4190913C" w:rsidR="00592B50" w:rsidRPr="00592B50" w:rsidRDefault="00592B50" w:rsidP="00B47BFF">
            <w:pPr>
              <w:jc w:val="both"/>
              <w:rPr>
                <w:rFonts w:eastAsia="Arial"/>
              </w:rPr>
            </w:pPr>
            <w:r>
              <w:rPr>
                <w:rFonts w:eastAsia="Arial"/>
              </w:rPr>
              <w:t xml:space="preserve">Leases </w:t>
            </w:r>
          </w:p>
        </w:tc>
      </w:tr>
    </w:tbl>
    <w:p w14:paraId="728D361B" w14:textId="77777777" w:rsidR="00592B50" w:rsidRPr="00592B50" w:rsidRDefault="00592B50" w:rsidP="00B47BFF">
      <w:pPr>
        <w:jc w:val="both"/>
      </w:pPr>
    </w:p>
    <w:p w14:paraId="7FC5F370" w14:textId="77777777" w:rsidR="000A2C1D" w:rsidRPr="00592B50" w:rsidRDefault="000A2C1D" w:rsidP="00D6718A">
      <w:pPr>
        <w:rPr>
          <w:b/>
        </w:rPr>
      </w:pPr>
    </w:p>
    <w:p w14:paraId="5B6881C2" w14:textId="4194AD37" w:rsidR="00D6718A" w:rsidRPr="00592B50" w:rsidRDefault="00D6718A" w:rsidP="00D6718A">
      <w:pPr>
        <w:rPr>
          <w:b/>
        </w:rPr>
      </w:pPr>
      <w:r w:rsidRPr="00592B50">
        <w:rPr>
          <w:b/>
        </w:rPr>
        <w:t>LEARNING AND TEACHING APPROACH</w:t>
      </w:r>
    </w:p>
    <w:p w14:paraId="6628F4F4" w14:textId="09D1CE9A" w:rsidR="00B47BFF" w:rsidRPr="00592B50" w:rsidRDefault="00894FEA" w:rsidP="00B47BFF">
      <w:pPr>
        <w:jc w:val="both"/>
      </w:pPr>
      <w:r w:rsidRPr="00894FEA">
        <w:rPr>
          <w:rFonts w:eastAsia="Arial"/>
        </w:rPr>
        <w:t>The classes will include a combination of lectures, discussions, practical examples, and Q&amp;A sessions. We will examine various scenarios and compare theoretical concepts with real-world applications. You will develop the knowledge and skills needed to prepare financial statements according to international accounting standards. To reinforce learning, question packs are provided for each topic, and students are encouraged to complete them. Since accounting is an applied discipline, the best way to learn is through hands-on practice</w:t>
      </w:r>
      <w:r w:rsidR="00B47BFF" w:rsidRPr="00592B50">
        <w:rPr>
          <w:rFonts w:eastAsia="Arial"/>
        </w:rPr>
        <w:t>. Homework will be given at the end of each lecture which should be attempted by students in advance of tutorials</w:t>
      </w:r>
      <w:r w:rsidR="00695994">
        <w:rPr>
          <w:rFonts w:eastAsia="Arial"/>
        </w:rPr>
        <w:t>.</w:t>
      </w:r>
    </w:p>
    <w:p w14:paraId="7001FB8A" w14:textId="77777777" w:rsidR="001F198D" w:rsidRPr="00592B50" w:rsidRDefault="001F198D" w:rsidP="001F198D">
      <w:pPr>
        <w:jc w:val="both"/>
      </w:pPr>
    </w:p>
    <w:p w14:paraId="674B65CF" w14:textId="77777777" w:rsidR="004D57ED" w:rsidRPr="00592B50" w:rsidRDefault="004D57ED" w:rsidP="00D6718A">
      <w:pPr>
        <w:pStyle w:val="Heading1"/>
        <w:rPr>
          <w:highlight w:val="yellow"/>
        </w:rPr>
      </w:pPr>
    </w:p>
    <w:p w14:paraId="4FFDD056" w14:textId="5844ED2B" w:rsidR="006B28DA" w:rsidRDefault="00073312" w:rsidP="00D6718A">
      <w:pPr>
        <w:pStyle w:val="Heading1"/>
      </w:pPr>
      <w:r w:rsidRPr="00695994">
        <w:t xml:space="preserve">MODULE-LEVEL </w:t>
      </w:r>
      <w:r w:rsidR="00D6718A" w:rsidRPr="00695994">
        <w:t>LEARNING OUTCOMES</w:t>
      </w:r>
      <w:r w:rsidRPr="00592B50">
        <w:t xml:space="preserve"> </w:t>
      </w:r>
    </w:p>
    <w:p w14:paraId="7FEFA59B" w14:textId="3944CCA5" w:rsidR="00894FEA" w:rsidRPr="00894FEA" w:rsidRDefault="00894FEA" w:rsidP="00894FEA">
      <w:r>
        <w:t>On successful completion of this module, students should be able to:</w:t>
      </w:r>
    </w:p>
    <w:p w14:paraId="79EA9C9C" w14:textId="77777777" w:rsidR="00B47BFF" w:rsidRPr="00592B50" w:rsidRDefault="00B47BFF" w:rsidP="00B47BFF">
      <w:pPr>
        <w:numPr>
          <w:ilvl w:val="0"/>
          <w:numId w:val="25"/>
        </w:numPr>
        <w:spacing w:after="160"/>
        <w:contextualSpacing/>
      </w:pPr>
      <w:r w:rsidRPr="00592B50">
        <w:rPr>
          <w:rFonts w:eastAsia="Arial"/>
        </w:rPr>
        <w:t>Display a sound theoretical knowledge of each of the international accounting standards studied during the year;</w:t>
      </w:r>
    </w:p>
    <w:p w14:paraId="38870A2D" w14:textId="77777777" w:rsidR="00B47BFF" w:rsidRPr="00592B50" w:rsidRDefault="00B47BFF" w:rsidP="00B47BFF">
      <w:pPr>
        <w:numPr>
          <w:ilvl w:val="0"/>
          <w:numId w:val="25"/>
        </w:numPr>
        <w:spacing w:after="160"/>
        <w:contextualSpacing/>
      </w:pPr>
      <w:r w:rsidRPr="00592B50">
        <w:rPr>
          <w:rFonts w:eastAsia="Arial"/>
        </w:rPr>
        <w:t>Substantiate this theoretical knowledge of the standards by applying it to practical problems and scenarios</w:t>
      </w:r>
    </w:p>
    <w:p w14:paraId="2F9E43C7" w14:textId="77777777" w:rsidR="00B47BFF" w:rsidRPr="00592B50" w:rsidRDefault="00B47BFF" w:rsidP="00B47BFF">
      <w:pPr>
        <w:numPr>
          <w:ilvl w:val="0"/>
          <w:numId w:val="25"/>
        </w:numPr>
        <w:spacing w:after="160"/>
        <w:contextualSpacing/>
      </w:pPr>
      <w:r w:rsidRPr="00592B50">
        <w:rPr>
          <w:rFonts w:eastAsia="Arial"/>
        </w:rPr>
        <w:t>Demonstrate an ability to account for the issues arising in the standards using the double entry accounting system</w:t>
      </w:r>
    </w:p>
    <w:p w14:paraId="2F2C18AA" w14:textId="3E2DBA75" w:rsidR="00D6718A" w:rsidRPr="00592B50" w:rsidRDefault="00D6718A"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9BAFEC9" w14:textId="77777777" w:rsidR="00D6718A" w:rsidRPr="00592B50" w:rsidRDefault="00D6718A" w:rsidP="00D6718A">
      <w:pPr>
        <w:jc w:val="both"/>
        <w:rPr>
          <w:b/>
        </w:rPr>
      </w:pPr>
      <w:r w:rsidRPr="00592B50">
        <w:rPr>
          <w:b/>
        </w:rPr>
        <w:t>RELATION TO DEGREE</w:t>
      </w:r>
    </w:p>
    <w:p w14:paraId="572C4051" w14:textId="77777777" w:rsidR="00894FEA" w:rsidRDefault="00894FEA" w:rsidP="00894FEA">
      <w:pPr>
        <w:pStyle w:val="Default"/>
        <w:jc w:val="both"/>
        <w:rPr>
          <w:lang w:val="en-IE"/>
        </w:rPr>
      </w:pPr>
      <w:r w:rsidRPr="00894FEA">
        <w:rPr>
          <w:lang w:val="en-IE"/>
        </w:rPr>
        <w:t xml:space="preserve">This module supports a number of the learning outcomes of the overall undergraduate programmes. Specifically, it enables students to: </w:t>
      </w:r>
    </w:p>
    <w:p w14:paraId="2B98FE59" w14:textId="77777777" w:rsidR="00894FEA" w:rsidRPr="00894FEA" w:rsidRDefault="00894FEA" w:rsidP="00894FEA">
      <w:pPr>
        <w:pStyle w:val="Default"/>
        <w:numPr>
          <w:ilvl w:val="0"/>
          <w:numId w:val="28"/>
        </w:numPr>
        <w:jc w:val="both"/>
        <w:rPr>
          <w:lang w:val="en-IE"/>
        </w:rPr>
      </w:pPr>
      <w:r>
        <w:t>Identify, evaluate critically, and integrate key theories, frameworks, and models—both qualitative and quantitative—that are utilized in the study of business, management, and the social sciences.</w:t>
      </w:r>
    </w:p>
    <w:p w14:paraId="1BD207FA" w14:textId="77777777" w:rsidR="00894FEA" w:rsidRPr="00894FEA" w:rsidRDefault="00894FEA" w:rsidP="00894FEA">
      <w:pPr>
        <w:pStyle w:val="Default"/>
        <w:numPr>
          <w:ilvl w:val="0"/>
          <w:numId w:val="28"/>
        </w:numPr>
        <w:jc w:val="both"/>
        <w:rPr>
          <w:lang w:val="en-IE"/>
        </w:rPr>
      </w:pPr>
      <w:r>
        <w:t>Use a multidisciplinary foundation of theories, tools, and techniques from business and the social sciences to analyze and resolve various issues in both private and public sector settings.</w:t>
      </w:r>
    </w:p>
    <w:p w14:paraId="02C1BFFC" w14:textId="77777777" w:rsidR="00894FEA" w:rsidRPr="00894FEA" w:rsidRDefault="00894FEA" w:rsidP="00894FEA">
      <w:pPr>
        <w:pStyle w:val="Default"/>
        <w:numPr>
          <w:ilvl w:val="0"/>
          <w:numId w:val="28"/>
        </w:numPr>
        <w:jc w:val="both"/>
        <w:rPr>
          <w:lang w:val="en-IE"/>
        </w:rPr>
      </w:pPr>
      <w:r>
        <w:lastRenderedPageBreak/>
        <w:t>Communicate proficiently in both oral and written forms within professional and academic contexts.</w:t>
      </w:r>
    </w:p>
    <w:p w14:paraId="32555109" w14:textId="77777777" w:rsidR="00371251" w:rsidRPr="00371251" w:rsidRDefault="00894FEA" w:rsidP="00894FEA">
      <w:pPr>
        <w:pStyle w:val="Default"/>
        <w:numPr>
          <w:ilvl w:val="0"/>
          <w:numId w:val="28"/>
        </w:numPr>
        <w:jc w:val="both"/>
        <w:rPr>
          <w:lang w:val="en-IE"/>
        </w:rPr>
      </w:pPr>
      <w:r>
        <w:t>Understand and apply the social and ethical aspects of management and research in both public and private sectors, using this understanding effectively in management and research scenarios.</w:t>
      </w:r>
    </w:p>
    <w:p w14:paraId="751C88D7" w14:textId="77777777" w:rsidR="00371251" w:rsidRPr="00371251" w:rsidRDefault="00894FEA" w:rsidP="00894FEA">
      <w:pPr>
        <w:pStyle w:val="Default"/>
        <w:numPr>
          <w:ilvl w:val="0"/>
          <w:numId w:val="28"/>
        </w:numPr>
        <w:jc w:val="both"/>
        <w:rPr>
          <w:lang w:val="en-IE"/>
        </w:rPr>
      </w:pPr>
      <w:r>
        <w:t>Work effectively both individually and as part of a team.</w:t>
      </w:r>
    </w:p>
    <w:p w14:paraId="6FBC2B32" w14:textId="27013A0B" w:rsidR="00894FEA" w:rsidRPr="00371251" w:rsidRDefault="00894FEA" w:rsidP="00894FEA">
      <w:pPr>
        <w:pStyle w:val="Default"/>
        <w:numPr>
          <w:ilvl w:val="0"/>
          <w:numId w:val="28"/>
        </w:numPr>
        <w:jc w:val="both"/>
        <w:rPr>
          <w:lang w:val="en-IE"/>
        </w:rPr>
      </w:pPr>
      <w:r>
        <w:t>Demonstrate the capacity to adapt and engage constructively with evolving social, cultural, and technological environments.</w:t>
      </w:r>
    </w:p>
    <w:p w14:paraId="4C5EE1B3" w14:textId="2E9138CD" w:rsidR="00D6718A" w:rsidRPr="00592B50" w:rsidRDefault="00D6718A" w:rsidP="00894FEA">
      <w:pPr>
        <w:pStyle w:val="ListParagraph"/>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s>
        <w:jc w:val="both"/>
      </w:pPr>
    </w:p>
    <w:p w14:paraId="6F056AEA" w14:textId="77777777" w:rsidR="00D6718A" w:rsidRPr="00592B50" w:rsidRDefault="00D6718A" w:rsidP="00D6718A">
      <w:pPr>
        <w:pStyle w:val="Heading1"/>
      </w:pPr>
      <w:r w:rsidRPr="00592B50">
        <w:t>WORKLOAD</w:t>
      </w:r>
    </w:p>
    <w:tbl>
      <w:tblPr>
        <w:tblStyle w:val="TableGrid"/>
        <w:tblW w:w="0" w:type="auto"/>
        <w:tblInd w:w="0" w:type="dxa"/>
        <w:tblLook w:val="01E0" w:firstRow="1" w:lastRow="1" w:firstColumn="1" w:lastColumn="1" w:noHBand="0" w:noVBand="0"/>
      </w:tblPr>
      <w:tblGrid>
        <w:gridCol w:w="5070"/>
        <w:gridCol w:w="3455"/>
      </w:tblGrid>
      <w:tr w:rsidR="00D6718A" w:rsidRPr="00592B50"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592B50" w:rsidRDefault="00D6718A">
            <w:pPr>
              <w:shd w:val="pct25" w:color="auto" w:fill="auto"/>
              <w:jc w:val="both"/>
              <w:rPr>
                <w:b/>
                <w:i/>
              </w:rPr>
            </w:pPr>
            <w:r w:rsidRPr="00592B50">
              <w:rPr>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592B50" w:rsidRDefault="00D6718A">
            <w:pPr>
              <w:shd w:val="pct25" w:color="auto" w:fill="auto"/>
              <w:jc w:val="center"/>
              <w:rPr>
                <w:b/>
                <w:i/>
              </w:rPr>
            </w:pPr>
            <w:r w:rsidRPr="00592B50">
              <w:rPr>
                <w:b/>
                <w:i/>
              </w:rPr>
              <w:t>Indicative Number of Hours</w:t>
            </w:r>
          </w:p>
        </w:tc>
      </w:tr>
      <w:tr w:rsidR="0090417E" w:rsidRPr="00592B50"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592B50" w:rsidRDefault="0090417E" w:rsidP="0090417E">
            <w:pPr>
              <w:jc w:val="both"/>
              <w:rPr>
                <w:i/>
              </w:rPr>
            </w:pPr>
            <w:r w:rsidRPr="00592B50">
              <w:rPr>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15081104" w:rsidR="0090417E" w:rsidRPr="00592B50" w:rsidRDefault="00B47BFF" w:rsidP="0090417E">
            <w:pPr>
              <w:jc w:val="center"/>
              <w:rPr>
                <w:i/>
              </w:rPr>
            </w:pPr>
            <w:r w:rsidRPr="00592B50">
              <w:rPr>
                <w:i/>
              </w:rPr>
              <w:t xml:space="preserve">48 hours </w:t>
            </w:r>
          </w:p>
        </w:tc>
      </w:tr>
      <w:tr w:rsidR="0090417E" w:rsidRPr="00592B50"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420E2440" w:rsidR="0090417E" w:rsidRPr="00592B50" w:rsidRDefault="0090417E" w:rsidP="0090417E">
            <w:pPr>
              <w:jc w:val="both"/>
              <w:rPr>
                <w:i/>
              </w:rPr>
            </w:pPr>
            <w:r w:rsidRPr="00592B50">
              <w:rPr>
                <w:i/>
              </w:rPr>
              <w:t>Preparation for lectures</w:t>
            </w:r>
            <w:r w:rsidR="00371251">
              <w:rPr>
                <w:i/>
              </w:rPr>
              <w:t>/tutorials</w:t>
            </w:r>
          </w:p>
        </w:tc>
        <w:tc>
          <w:tcPr>
            <w:tcW w:w="3455" w:type="dxa"/>
            <w:tcBorders>
              <w:top w:val="single" w:sz="4" w:space="0" w:color="auto"/>
              <w:left w:val="single" w:sz="4" w:space="0" w:color="auto"/>
              <w:bottom w:val="single" w:sz="4" w:space="0" w:color="auto"/>
              <w:right w:val="single" w:sz="4" w:space="0" w:color="auto"/>
            </w:tcBorders>
          </w:tcPr>
          <w:p w14:paraId="57083A36" w14:textId="45DC6F77" w:rsidR="0090417E" w:rsidRPr="00592B50" w:rsidRDefault="00B47BFF" w:rsidP="0090417E">
            <w:pPr>
              <w:jc w:val="center"/>
              <w:rPr>
                <w:i/>
              </w:rPr>
            </w:pPr>
            <w:r w:rsidRPr="00592B50">
              <w:rPr>
                <w:i/>
              </w:rPr>
              <w:t xml:space="preserve">48 hours </w:t>
            </w:r>
          </w:p>
        </w:tc>
      </w:tr>
      <w:tr w:rsidR="0090417E" w:rsidRPr="00592B50"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7777777" w:rsidR="0090417E" w:rsidRPr="00592B50" w:rsidRDefault="0090417E" w:rsidP="0090417E">
            <w:pPr>
              <w:jc w:val="both"/>
              <w:rPr>
                <w:i/>
              </w:rPr>
            </w:pPr>
            <w:r w:rsidRPr="00592B50">
              <w:rPr>
                <w:i/>
              </w:rPr>
              <w:t xml:space="preserve">Individual assignment </w:t>
            </w:r>
          </w:p>
        </w:tc>
        <w:tc>
          <w:tcPr>
            <w:tcW w:w="3455" w:type="dxa"/>
            <w:tcBorders>
              <w:top w:val="single" w:sz="4" w:space="0" w:color="auto"/>
              <w:left w:val="single" w:sz="4" w:space="0" w:color="auto"/>
              <w:bottom w:val="single" w:sz="4" w:space="0" w:color="auto"/>
              <w:right w:val="single" w:sz="4" w:space="0" w:color="auto"/>
            </w:tcBorders>
          </w:tcPr>
          <w:p w14:paraId="3FFAACF4" w14:textId="51623CCB" w:rsidR="0090417E" w:rsidRPr="00592B50" w:rsidRDefault="00B47BFF" w:rsidP="0090417E">
            <w:pPr>
              <w:jc w:val="center"/>
              <w:rPr>
                <w:i/>
              </w:rPr>
            </w:pPr>
            <w:r w:rsidRPr="00592B50">
              <w:rPr>
                <w:i/>
              </w:rPr>
              <w:t>NIL</w:t>
            </w:r>
          </w:p>
        </w:tc>
      </w:tr>
      <w:tr w:rsidR="0090417E" w:rsidRPr="00592B50"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7777777" w:rsidR="0090417E" w:rsidRPr="00592B50" w:rsidRDefault="0090417E" w:rsidP="0090417E">
            <w:pPr>
              <w:jc w:val="both"/>
              <w:rPr>
                <w:i/>
              </w:rPr>
            </w:pPr>
            <w:r w:rsidRPr="00592B50">
              <w:rPr>
                <w:i/>
              </w:rPr>
              <w:t>Group assignment</w:t>
            </w:r>
          </w:p>
        </w:tc>
        <w:tc>
          <w:tcPr>
            <w:tcW w:w="3455" w:type="dxa"/>
            <w:tcBorders>
              <w:top w:val="single" w:sz="4" w:space="0" w:color="auto"/>
              <w:left w:val="single" w:sz="4" w:space="0" w:color="auto"/>
              <w:bottom w:val="single" w:sz="4" w:space="0" w:color="auto"/>
              <w:right w:val="single" w:sz="4" w:space="0" w:color="auto"/>
            </w:tcBorders>
          </w:tcPr>
          <w:p w14:paraId="469BD5EF" w14:textId="00E70700" w:rsidR="0090417E" w:rsidRPr="00592B50" w:rsidRDefault="00B47BFF" w:rsidP="0090417E">
            <w:pPr>
              <w:jc w:val="center"/>
              <w:rPr>
                <w:i/>
              </w:rPr>
            </w:pPr>
            <w:r w:rsidRPr="00592B50">
              <w:rPr>
                <w:i/>
              </w:rPr>
              <w:t>NIL</w:t>
            </w:r>
          </w:p>
        </w:tc>
      </w:tr>
      <w:tr w:rsidR="0090417E" w:rsidRPr="00592B50"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Pr="00592B50" w:rsidRDefault="0090417E" w:rsidP="0090417E">
            <w:pPr>
              <w:jc w:val="both"/>
              <w:rPr>
                <w:i/>
              </w:rPr>
            </w:pPr>
            <w:r w:rsidRPr="00592B50">
              <w:rPr>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7788FCB3" w:rsidR="0090417E" w:rsidRPr="00592B50" w:rsidRDefault="00B47BFF" w:rsidP="0090417E">
            <w:pPr>
              <w:jc w:val="center"/>
              <w:rPr>
                <w:i/>
              </w:rPr>
            </w:pPr>
            <w:r w:rsidRPr="00592B50">
              <w:rPr>
                <w:i/>
              </w:rPr>
              <w:t xml:space="preserve">48 hours </w:t>
            </w:r>
          </w:p>
        </w:tc>
      </w:tr>
      <w:tr w:rsidR="0090417E" w:rsidRPr="00592B50"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Pr="00592B50" w:rsidRDefault="0090417E" w:rsidP="0090417E">
            <w:pPr>
              <w:jc w:val="both"/>
              <w:rPr>
                <w:i/>
              </w:rPr>
            </w:pPr>
            <w:r w:rsidRPr="00592B50">
              <w:rPr>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134C9AC5" w:rsidR="0090417E" w:rsidRPr="00592B50" w:rsidRDefault="00B47BFF" w:rsidP="0090417E">
            <w:pPr>
              <w:jc w:val="center"/>
              <w:rPr>
                <w:i/>
              </w:rPr>
            </w:pPr>
            <w:r w:rsidRPr="00592B50">
              <w:rPr>
                <w:i/>
              </w:rPr>
              <w:t xml:space="preserve">15 hours </w:t>
            </w:r>
          </w:p>
        </w:tc>
      </w:tr>
      <w:tr w:rsidR="0090417E" w:rsidRPr="00592B50"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Pr="00592B50" w:rsidRDefault="0090417E" w:rsidP="0090417E">
            <w:pPr>
              <w:jc w:val="both"/>
              <w:rPr>
                <w:b/>
                <w:i/>
              </w:rPr>
            </w:pPr>
            <w:r w:rsidRPr="00592B50">
              <w:rPr>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0DBC20EE" w:rsidR="0090417E" w:rsidRPr="00592B50" w:rsidRDefault="00B47BFF" w:rsidP="0090417E">
            <w:pPr>
              <w:jc w:val="center"/>
              <w:rPr>
                <w:b/>
                <w:i/>
              </w:rPr>
            </w:pPr>
            <w:r w:rsidRPr="00592B50">
              <w:rPr>
                <w:b/>
                <w:i/>
              </w:rPr>
              <w:t xml:space="preserve">159 hours </w:t>
            </w:r>
          </w:p>
        </w:tc>
      </w:tr>
    </w:tbl>
    <w:p w14:paraId="5AEDCC39" w14:textId="77777777" w:rsidR="00D6718A" w:rsidRPr="00592B50" w:rsidRDefault="00D6718A" w:rsidP="00D6718A"/>
    <w:p w14:paraId="6FC08C62" w14:textId="77777777" w:rsidR="00D6718A" w:rsidRPr="00592B50" w:rsidRDefault="00D6718A" w:rsidP="00D6718A">
      <w:pPr>
        <w:pStyle w:val="Heading1"/>
      </w:pPr>
      <w:r w:rsidRPr="00592B50">
        <w:t>TEXTBOOKS AND REQUIRED RESOURCES</w:t>
      </w:r>
    </w:p>
    <w:p w14:paraId="48D67819" w14:textId="77777777" w:rsidR="00D6718A" w:rsidRPr="00592B50" w:rsidRDefault="00D6718A" w:rsidP="00D6718A"/>
    <w:p w14:paraId="0B6CC1BF" w14:textId="77777777" w:rsidR="00B47BFF" w:rsidRPr="00592B50" w:rsidRDefault="00B47BFF" w:rsidP="00B47BFF">
      <w:pPr>
        <w:pStyle w:val="NormalWeb"/>
        <w:shd w:val="clear" w:color="auto" w:fill="FFFFFF"/>
        <w:spacing w:before="0" w:beforeAutospacing="0" w:after="0" w:afterAutospacing="0"/>
        <w:rPr>
          <w:color w:val="242424"/>
        </w:rPr>
      </w:pPr>
      <w:r w:rsidRPr="00592B50">
        <w:rPr>
          <w:color w:val="242424"/>
          <w:u w:val="single"/>
          <w:bdr w:val="none" w:sz="0" w:space="0" w:color="auto" w:frame="1"/>
        </w:rPr>
        <w:t>Required reading:</w:t>
      </w:r>
    </w:p>
    <w:p w14:paraId="66516213" w14:textId="56D8F5BF" w:rsidR="00B47BFF" w:rsidRPr="00592B50" w:rsidRDefault="00B47BFF" w:rsidP="00695994">
      <w:pPr>
        <w:pStyle w:val="NormalWeb"/>
        <w:shd w:val="clear" w:color="auto" w:fill="FFFFFF"/>
        <w:spacing w:before="0" w:beforeAutospacing="0" w:after="0" w:afterAutospacing="0"/>
        <w:rPr>
          <w:color w:val="242424"/>
        </w:rPr>
      </w:pPr>
      <w:r w:rsidRPr="00592B50">
        <w:rPr>
          <w:color w:val="242424"/>
          <w:bdr w:val="none" w:sz="0" w:space="0" w:color="auto" w:frame="1"/>
        </w:rPr>
        <w:t>Melville (2022), </w:t>
      </w:r>
      <w:r w:rsidRPr="00592B50">
        <w:rPr>
          <w:i/>
          <w:iCs/>
          <w:color w:val="242424"/>
          <w:bdr w:val="none" w:sz="0" w:space="0" w:color="auto" w:frame="1"/>
        </w:rPr>
        <w:t>International Financial Reporting</w:t>
      </w:r>
      <w:r w:rsidRPr="00592B50">
        <w:rPr>
          <w:color w:val="242424"/>
          <w:bdr w:val="none" w:sz="0" w:space="0" w:color="auto" w:frame="1"/>
        </w:rPr>
        <w:t>, 8th edition (Pearson Education).</w:t>
      </w:r>
    </w:p>
    <w:p w14:paraId="5B2C5AC0" w14:textId="77777777" w:rsidR="00B47BFF" w:rsidRPr="00592B50" w:rsidRDefault="00B47BFF" w:rsidP="00B47BFF">
      <w:pPr>
        <w:pStyle w:val="NormalWeb"/>
        <w:shd w:val="clear" w:color="auto" w:fill="FFFFFF"/>
        <w:spacing w:before="0" w:beforeAutospacing="0" w:after="0" w:afterAutospacing="0"/>
        <w:rPr>
          <w:color w:val="242424"/>
        </w:rPr>
      </w:pPr>
      <w:r w:rsidRPr="00592B50">
        <w:rPr>
          <w:color w:val="242424"/>
          <w:bdr w:val="none" w:sz="0" w:space="0" w:color="auto" w:frame="1"/>
        </w:rPr>
        <w:t> </w:t>
      </w:r>
    </w:p>
    <w:p w14:paraId="4FA26E83" w14:textId="77777777" w:rsidR="00B47BFF" w:rsidRPr="00592B50" w:rsidRDefault="00B47BFF" w:rsidP="00B47BFF">
      <w:pPr>
        <w:pStyle w:val="NormalWeb"/>
        <w:shd w:val="clear" w:color="auto" w:fill="FFFFFF"/>
        <w:spacing w:before="0" w:beforeAutospacing="0" w:after="0" w:afterAutospacing="0"/>
        <w:rPr>
          <w:color w:val="242424"/>
        </w:rPr>
      </w:pPr>
      <w:r w:rsidRPr="00592B50">
        <w:rPr>
          <w:color w:val="242424"/>
          <w:u w:val="single"/>
          <w:bdr w:val="none" w:sz="0" w:space="0" w:color="auto" w:frame="1"/>
        </w:rPr>
        <w:t>General Supplemental Readings:</w:t>
      </w:r>
    </w:p>
    <w:p w14:paraId="25766D9C" w14:textId="5C587A13" w:rsidR="00B47BFF" w:rsidRPr="00695994" w:rsidRDefault="00B47BFF" w:rsidP="00B47BFF">
      <w:pPr>
        <w:pStyle w:val="NormalWeb"/>
        <w:shd w:val="clear" w:color="auto" w:fill="FFFFFF"/>
        <w:spacing w:before="0" w:beforeAutospacing="0" w:after="0" w:afterAutospacing="0"/>
        <w:ind w:left="454" w:hanging="350"/>
        <w:rPr>
          <w:color w:val="242424"/>
        </w:rPr>
      </w:pPr>
      <w:r w:rsidRPr="00695994">
        <w:rPr>
          <w:color w:val="242424"/>
          <w:bdr w:val="none" w:sz="0" w:space="0" w:color="auto" w:frame="1"/>
        </w:rPr>
        <w:t>Alexander et al (2023), </w:t>
      </w:r>
      <w:r w:rsidRPr="00695994">
        <w:rPr>
          <w:i/>
          <w:iCs/>
          <w:color w:val="242424"/>
          <w:bdr w:val="none" w:sz="0" w:space="0" w:color="auto" w:frame="1"/>
        </w:rPr>
        <w:t>International Financial Reporting &amp; Analysis</w:t>
      </w:r>
      <w:r w:rsidRPr="00695994">
        <w:rPr>
          <w:color w:val="242424"/>
          <w:bdr w:val="none" w:sz="0" w:space="0" w:color="auto" w:frame="1"/>
        </w:rPr>
        <w:t>, 9th Edition (Cengage);</w:t>
      </w:r>
    </w:p>
    <w:p w14:paraId="4B57C13A" w14:textId="49501500" w:rsidR="00B47BFF" w:rsidRPr="00592B50" w:rsidRDefault="00B47BFF" w:rsidP="00B47BFF">
      <w:pPr>
        <w:pStyle w:val="NormalWeb"/>
        <w:shd w:val="clear" w:color="auto" w:fill="FFFFFF"/>
        <w:spacing w:before="0" w:beforeAutospacing="0" w:after="0" w:afterAutospacing="0"/>
        <w:ind w:left="454" w:hanging="350"/>
        <w:rPr>
          <w:color w:val="242424"/>
        </w:rPr>
      </w:pPr>
      <w:r w:rsidRPr="00592B50">
        <w:rPr>
          <w:color w:val="242424"/>
          <w:bdr w:val="none" w:sz="0" w:space="0" w:color="auto" w:frame="1"/>
        </w:rPr>
        <w:t>Elliott and Elliott (2022), </w:t>
      </w:r>
      <w:r w:rsidRPr="00592B50">
        <w:rPr>
          <w:i/>
          <w:iCs/>
          <w:color w:val="242424"/>
          <w:bdr w:val="none" w:sz="0" w:space="0" w:color="auto" w:frame="1"/>
        </w:rPr>
        <w:t>Financial Accounting and Reporting</w:t>
      </w:r>
      <w:r w:rsidRPr="00592B50">
        <w:rPr>
          <w:color w:val="242424"/>
          <w:bdr w:val="none" w:sz="0" w:space="0" w:color="auto" w:frame="1"/>
        </w:rPr>
        <w:t>, 20th Edition (Pearson);</w:t>
      </w:r>
    </w:p>
    <w:p w14:paraId="009CB9D2" w14:textId="7C40C74D" w:rsidR="00B47BFF" w:rsidRPr="00592B50" w:rsidRDefault="00B47BFF" w:rsidP="00B47BFF">
      <w:pPr>
        <w:pStyle w:val="NormalWeb"/>
        <w:shd w:val="clear" w:color="auto" w:fill="FFFFFF"/>
        <w:spacing w:before="0" w:beforeAutospacing="0" w:after="0" w:afterAutospacing="0"/>
        <w:ind w:left="454" w:hanging="350"/>
        <w:rPr>
          <w:color w:val="242424"/>
        </w:rPr>
      </w:pPr>
      <w:r w:rsidRPr="00592B50">
        <w:rPr>
          <w:color w:val="242424"/>
          <w:bdr w:val="none" w:sz="0" w:space="0" w:color="auto" w:frame="1"/>
        </w:rPr>
        <w:t>Connolly (2018), </w:t>
      </w:r>
      <w:r w:rsidRPr="00592B50">
        <w:rPr>
          <w:i/>
          <w:iCs/>
          <w:color w:val="242424"/>
          <w:bdr w:val="none" w:sz="0" w:space="0" w:color="auto" w:frame="1"/>
        </w:rPr>
        <w:t>International Financial Accounting and Reporting</w:t>
      </w:r>
      <w:r w:rsidRPr="00592B50">
        <w:rPr>
          <w:color w:val="242424"/>
          <w:bdr w:val="none" w:sz="0" w:space="0" w:color="auto" w:frame="1"/>
        </w:rPr>
        <w:t>, 6th Edition (Chartered Accountants Ireland).</w:t>
      </w:r>
    </w:p>
    <w:p w14:paraId="605910A1" w14:textId="77777777" w:rsidR="00D6718A" w:rsidRPr="00592B50" w:rsidRDefault="00D6718A" w:rsidP="00D6718A">
      <w:pPr>
        <w:rPr>
          <w:b/>
          <w:bCs/>
          <w:u w:val="single"/>
        </w:rPr>
      </w:pPr>
    </w:p>
    <w:p w14:paraId="53DFE0BB" w14:textId="33842587" w:rsidR="00D6718A" w:rsidRDefault="00D6718A" w:rsidP="00D6718A">
      <w:pPr>
        <w:pStyle w:val="Heading1"/>
      </w:pPr>
      <w:r w:rsidRPr="00592B50">
        <w:t>Student preparation for the module</w:t>
      </w:r>
    </w:p>
    <w:p w14:paraId="709775EE" w14:textId="3A983583" w:rsidR="00371251" w:rsidRPr="00371251" w:rsidRDefault="00371251" w:rsidP="00371251">
      <w:r w:rsidRPr="00371251">
        <w:t>Students are expected to have read the relevant chapters and lecture notes (provided on Blackboard) before each class.</w:t>
      </w:r>
    </w:p>
    <w:p w14:paraId="711EAC23" w14:textId="77777777" w:rsidR="005A2E11" w:rsidRPr="00592B50" w:rsidRDefault="005A2E11" w:rsidP="00D6718A">
      <w:pPr>
        <w:rPr>
          <w:b/>
          <w:smallCaps/>
        </w:rPr>
      </w:pPr>
    </w:p>
    <w:p w14:paraId="5CFB7BDE" w14:textId="345662F2" w:rsidR="00D6718A" w:rsidRPr="00592B50" w:rsidRDefault="00D6718A" w:rsidP="00D6718A">
      <w:pPr>
        <w:rPr>
          <w:b/>
          <w:smallCaps/>
        </w:rPr>
      </w:pPr>
      <w:r w:rsidRPr="00592B50">
        <w:rPr>
          <w:b/>
          <w:smallCaps/>
        </w:rPr>
        <w:t xml:space="preserve">COURSE COMMUNICATION </w:t>
      </w:r>
    </w:p>
    <w:p w14:paraId="59B88891" w14:textId="77777777" w:rsidR="00371251" w:rsidRDefault="00371251" w:rsidP="0090417E">
      <w:pPr>
        <w:rPr>
          <w:bCs/>
          <w:iCs/>
        </w:rPr>
      </w:pPr>
      <w:r w:rsidRPr="00371251">
        <w:rPr>
          <w:bCs/>
          <w:iCs/>
        </w:rPr>
        <w:t>Administrative information changes (e.g., dates, times, venues, groups, deadlines, etc.) will be posted on Blackboard. Students are responsible for checking their College email and Blackboard regularly.</w:t>
      </w:r>
    </w:p>
    <w:p w14:paraId="41268C47" w14:textId="77777777" w:rsidR="00371251" w:rsidRDefault="00371251" w:rsidP="0090417E">
      <w:pPr>
        <w:rPr>
          <w:bCs/>
          <w:iCs/>
        </w:rPr>
      </w:pPr>
    </w:p>
    <w:p w14:paraId="7D45917B" w14:textId="175C0B34" w:rsidR="0090417E" w:rsidRPr="00371251" w:rsidRDefault="0090417E" w:rsidP="0090417E">
      <w:pPr>
        <w:rPr>
          <w:b/>
          <w:iCs/>
        </w:rPr>
      </w:pPr>
      <w:r w:rsidRPr="00371251">
        <w:rPr>
          <w:b/>
          <w:iCs/>
        </w:rPr>
        <w:t xml:space="preserve">Please note that all course related email communication </w:t>
      </w:r>
      <w:r w:rsidRPr="00371251">
        <w:rPr>
          <w:b/>
          <w:iCs/>
          <w:u w:val="single"/>
        </w:rPr>
        <w:t>must</w:t>
      </w:r>
      <w:r w:rsidRPr="00371251">
        <w:rPr>
          <w:b/>
          <w:iCs/>
        </w:rPr>
        <w:t xml:space="preserve"> be sent from your official TCD email address. Emails sent from other addresses will not be attended to.</w:t>
      </w:r>
    </w:p>
    <w:p w14:paraId="44A819CC" w14:textId="77777777" w:rsidR="00D6718A" w:rsidRPr="00592B50" w:rsidRDefault="00D6718A" w:rsidP="00D6718A">
      <w:pPr>
        <w:rPr>
          <w:i/>
        </w:rPr>
      </w:pPr>
    </w:p>
    <w:p w14:paraId="616644CB" w14:textId="77777777" w:rsidR="00401F4B" w:rsidRDefault="00401F4B" w:rsidP="00D6718A">
      <w:pPr>
        <w:pStyle w:val="BodyText2"/>
        <w:jc w:val="both"/>
        <w:rPr>
          <w:b/>
          <w:i w:val="0"/>
          <w:iCs w:val="0"/>
          <w:sz w:val="24"/>
        </w:rPr>
      </w:pPr>
    </w:p>
    <w:p w14:paraId="1CD21312" w14:textId="77777777" w:rsidR="00401F4B" w:rsidRDefault="00401F4B" w:rsidP="00D6718A">
      <w:pPr>
        <w:pStyle w:val="BodyText2"/>
        <w:jc w:val="both"/>
        <w:rPr>
          <w:b/>
          <w:i w:val="0"/>
          <w:iCs w:val="0"/>
          <w:sz w:val="24"/>
        </w:rPr>
      </w:pPr>
    </w:p>
    <w:p w14:paraId="7FF278A1" w14:textId="2B6A01C1" w:rsidR="00D6718A" w:rsidRPr="00592B50" w:rsidRDefault="00D6718A" w:rsidP="00D6718A">
      <w:pPr>
        <w:pStyle w:val="BodyText2"/>
        <w:jc w:val="both"/>
        <w:rPr>
          <w:b/>
          <w:i w:val="0"/>
          <w:iCs w:val="0"/>
          <w:sz w:val="24"/>
        </w:rPr>
      </w:pPr>
      <w:r w:rsidRPr="00592B50">
        <w:rPr>
          <w:b/>
          <w:i w:val="0"/>
          <w:iCs w:val="0"/>
          <w:sz w:val="24"/>
        </w:rPr>
        <w:lastRenderedPageBreak/>
        <w:t>ASSESSMENT</w:t>
      </w:r>
    </w:p>
    <w:p w14:paraId="5ABAA0AC" w14:textId="779306FE" w:rsidR="002C4004" w:rsidRDefault="002C4004" w:rsidP="00401F4B">
      <w:pPr>
        <w:ind w:left="720"/>
        <w:rPr>
          <w:rFonts w:eastAsia="Arial"/>
          <w:b/>
          <w:bCs/>
        </w:rPr>
      </w:pPr>
      <w:r>
        <w:rPr>
          <w:rFonts w:eastAsia="Arial"/>
          <w:b/>
          <w:bCs/>
        </w:rPr>
        <w:t xml:space="preserve">In-Class Assessment </w:t>
      </w:r>
      <w:r>
        <w:rPr>
          <w:rFonts w:eastAsia="Arial"/>
          <w:b/>
          <w:bCs/>
        </w:rPr>
        <w:tab/>
      </w:r>
      <w:r>
        <w:rPr>
          <w:rFonts w:eastAsia="Arial"/>
          <w:b/>
          <w:bCs/>
        </w:rPr>
        <w:tab/>
      </w:r>
      <w:r>
        <w:rPr>
          <w:rFonts w:eastAsia="Arial"/>
          <w:b/>
          <w:bCs/>
        </w:rPr>
        <w:tab/>
        <w:t xml:space="preserve">1 hour </w:t>
      </w:r>
      <w:r>
        <w:rPr>
          <w:rFonts w:eastAsia="Arial"/>
          <w:b/>
          <w:bCs/>
        </w:rPr>
        <w:tab/>
        <w:t>30% of Total Marks</w:t>
      </w:r>
    </w:p>
    <w:p w14:paraId="0F7A47A8" w14:textId="77777777" w:rsidR="00401F4B" w:rsidRDefault="00B47BFF" w:rsidP="00401F4B">
      <w:pPr>
        <w:ind w:left="720"/>
        <w:rPr>
          <w:rFonts w:eastAsia="Arial"/>
          <w:b/>
          <w:bCs/>
        </w:rPr>
      </w:pPr>
      <w:r w:rsidRPr="00592B50">
        <w:rPr>
          <w:rFonts w:eastAsia="Arial"/>
          <w:b/>
          <w:bCs/>
        </w:rPr>
        <w:t>End of year exam</w:t>
      </w:r>
      <w:r w:rsidR="00635B07">
        <w:rPr>
          <w:rFonts w:eastAsia="Arial"/>
          <w:b/>
          <w:bCs/>
        </w:rPr>
        <w:tab/>
      </w:r>
      <w:r w:rsidR="00635B07">
        <w:rPr>
          <w:rFonts w:eastAsia="Arial"/>
          <w:b/>
          <w:bCs/>
        </w:rPr>
        <w:tab/>
      </w:r>
      <w:r w:rsidR="00635B07">
        <w:rPr>
          <w:rFonts w:eastAsia="Arial"/>
          <w:b/>
          <w:bCs/>
        </w:rPr>
        <w:tab/>
      </w:r>
      <w:r w:rsidRPr="00592B50">
        <w:rPr>
          <w:rFonts w:eastAsia="Arial"/>
          <w:b/>
          <w:bCs/>
        </w:rPr>
        <w:t xml:space="preserve"> </w:t>
      </w:r>
      <w:r w:rsidR="002C4004">
        <w:rPr>
          <w:rFonts w:eastAsia="Arial"/>
          <w:b/>
          <w:bCs/>
        </w:rPr>
        <w:t>2.5</w:t>
      </w:r>
      <w:r w:rsidRPr="00592B50">
        <w:rPr>
          <w:rFonts w:eastAsia="Arial"/>
          <w:b/>
          <w:bCs/>
        </w:rPr>
        <w:t xml:space="preserve"> hours</w:t>
      </w:r>
      <w:r w:rsidR="002C4004">
        <w:rPr>
          <w:rFonts w:eastAsia="Arial"/>
          <w:b/>
          <w:bCs/>
        </w:rPr>
        <w:t xml:space="preserve"> </w:t>
      </w:r>
      <w:r w:rsidR="002C4004">
        <w:rPr>
          <w:rFonts w:eastAsia="Arial"/>
          <w:b/>
          <w:bCs/>
        </w:rPr>
        <w:tab/>
        <w:t>7</w:t>
      </w:r>
      <w:r w:rsidR="00087558">
        <w:rPr>
          <w:rFonts w:eastAsia="Arial"/>
          <w:b/>
          <w:bCs/>
        </w:rPr>
        <w:t>0</w:t>
      </w:r>
      <w:r w:rsidRPr="00592B50">
        <w:rPr>
          <w:rFonts w:eastAsia="Arial"/>
          <w:b/>
          <w:bCs/>
        </w:rPr>
        <w:t>% of Total marks</w:t>
      </w:r>
    </w:p>
    <w:p w14:paraId="7C7E582E" w14:textId="77777777" w:rsidR="00401F4B" w:rsidRDefault="00401F4B" w:rsidP="00401F4B">
      <w:pPr>
        <w:rPr>
          <w:rFonts w:eastAsia="Arial"/>
          <w:b/>
          <w:bCs/>
        </w:rPr>
      </w:pPr>
    </w:p>
    <w:p w14:paraId="1EBA18BB" w14:textId="611BA463" w:rsidR="00401F4B" w:rsidRPr="00401F4B" w:rsidRDefault="00401F4B" w:rsidP="00401F4B">
      <w:pPr>
        <w:rPr>
          <w:rFonts w:eastAsia="Arial"/>
          <w:b/>
          <w:bCs/>
        </w:rPr>
      </w:pPr>
      <w:r w:rsidRPr="00401F4B">
        <w:rPr>
          <w:b/>
          <w:bCs/>
        </w:rPr>
        <w:t>RE-ASSESSMENT</w:t>
      </w:r>
    </w:p>
    <w:p w14:paraId="6453917A" w14:textId="77777777" w:rsidR="00401F4B" w:rsidRDefault="00401F4B" w:rsidP="00401F4B">
      <w:pPr>
        <w:tabs>
          <w:tab w:val="left" w:pos="1440"/>
          <w:tab w:val="left" w:pos="2160"/>
          <w:tab w:val="left" w:pos="2880"/>
          <w:tab w:val="left" w:pos="3600"/>
          <w:tab w:val="left" w:pos="4320"/>
          <w:tab w:val="left" w:pos="5040"/>
          <w:tab w:val="left" w:pos="5760"/>
          <w:tab w:val="left" w:pos="6480"/>
          <w:tab w:val="left" w:pos="7200"/>
          <w:tab w:val="left" w:pos="7920"/>
        </w:tabs>
        <w:jc w:val="both"/>
      </w:pPr>
      <w:r w:rsidRPr="00C41FCE">
        <w:t>Re-assessment involves retaking a 100% exam</w:t>
      </w:r>
      <w:r>
        <w:t>ination</w:t>
      </w:r>
      <w:r w:rsidRPr="00C41FCE">
        <w:t xml:space="preserve"> during the re-assessment period for </w:t>
      </w:r>
      <w:r>
        <w:t xml:space="preserve">the </w:t>
      </w:r>
      <w:r w:rsidRPr="00C41FCE">
        <w:t>202</w:t>
      </w:r>
      <w:r>
        <w:t>6</w:t>
      </w:r>
      <w:r w:rsidRPr="00C41FCE">
        <w:t>/2</w:t>
      </w:r>
      <w:r>
        <w:t>7</w:t>
      </w:r>
      <w:r w:rsidRPr="00C41FCE">
        <w:t xml:space="preserve"> academic year.</w:t>
      </w:r>
    </w:p>
    <w:p w14:paraId="6F40A9AC" w14:textId="77777777" w:rsidR="00401F4B" w:rsidRDefault="00401F4B" w:rsidP="00401F4B">
      <w:pPr>
        <w:rPr>
          <w:rFonts w:eastAsia="Arial"/>
          <w:b/>
          <w:bCs/>
        </w:rPr>
      </w:pPr>
    </w:p>
    <w:p w14:paraId="1E1F1EF9" w14:textId="5E393A28" w:rsidR="00635B07" w:rsidRPr="00592B50" w:rsidRDefault="002C4004" w:rsidP="00B47BFF">
      <w:r>
        <w:t xml:space="preserve"> </w:t>
      </w:r>
    </w:p>
    <w:p w14:paraId="4738E11F" w14:textId="77777777" w:rsidR="00B47BFF" w:rsidRPr="00592B50" w:rsidRDefault="00B47BFF" w:rsidP="00B47BFF">
      <w:pPr>
        <w:pBdr>
          <w:top w:val="single" w:sz="8" w:space="1" w:color="auto"/>
          <w:left w:val="single" w:sz="4" w:space="4" w:color="auto"/>
          <w:bottom w:val="single" w:sz="8" w:space="1" w:color="auto"/>
          <w:right w:val="single" w:sz="4" w:space="4" w:color="auto"/>
        </w:pBdr>
        <w:jc w:val="center"/>
      </w:pPr>
      <w:r w:rsidRPr="00592B50">
        <w:rPr>
          <w:b/>
        </w:rPr>
        <w:t>MODULE SCHEDULE</w:t>
      </w:r>
    </w:p>
    <w:p w14:paraId="6C2145B0" w14:textId="77777777" w:rsidR="00B47BFF" w:rsidRPr="00592B50" w:rsidRDefault="00B47BFF" w:rsidP="00B47BFF">
      <w:pPr>
        <w:jc w:val="both"/>
        <w:rPr>
          <w:iCs/>
          <w:u w:val="single"/>
        </w:rPr>
      </w:pPr>
    </w:p>
    <w:tbl>
      <w:tblPr>
        <w:tblStyle w:val="TableGrid"/>
        <w:tblW w:w="0" w:type="auto"/>
        <w:tblInd w:w="0" w:type="dxa"/>
        <w:tblLook w:val="04A0" w:firstRow="1" w:lastRow="0" w:firstColumn="1" w:lastColumn="0" w:noHBand="0" w:noVBand="1"/>
      </w:tblPr>
      <w:tblGrid>
        <w:gridCol w:w="988"/>
        <w:gridCol w:w="2835"/>
        <w:gridCol w:w="5527"/>
      </w:tblGrid>
      <w:tr w:rsidR="00371251" w:rsidRPr="00371251" w14:paraId="78D22744" w14:textId="77777777" w:rsidTr="00371251">
        <w:tc>
          <w:tcPr>
            <w:tcW w:w="988" w:type="dxa"/>
          </w:tcPr>
          <w:p w14:paraId="01DE7EE5" w14:textId="568F7AD8" w:rsidR="00371251" w:rsidRPr="00371251" w:rsidRDefault="00371251" w:rsidP="00371251">
            <w:pPr>
              <w:rPr>
                <w:b/>
                <w:bCs/>
              </w:rPr>
            </w:pPr>
            <w:r w:rsidRPr="00371251">
              <w:rPr>
                <w:b/>
                <w:bCs/>
              </w:rPr>
              <w:t xml:space="preserve">Session </w:t>
            </w:r>
          </w:p>
        </w:tc>
        <w:tc>
          <w:tcPr>
            <w:tcW w:w="2835" w:type="dxa"/>
          </w:tcPr>
          <w:p w14:paraId="4FB6B8C2" w14:textId="503821E7" w:rsidR="00371251" w:rsidRPr="00371251" w:rsidRDefault="00371251" w:rsidP="00371251">
            <w:pPr>
              <w:rPr>
                <w:b/>
                <w:bCs/>
              </w:rPr>
            </w:pPr>
            <w:r w:rsidRPr="00371251">
              <w:rPr>
                <w:b/>
                <w:bCs/>
              </w:rPr>
              <w:t xml:space="preserve">Details </w:t>
            </w:r>
          </w:p>
        </w:tc>
        <w:tc>
          <w:tcPr>
            <w:tcW w:w="5527" w:type="dxa"/>
          </w:tcPr>
          <w:p w14:paraId="2FDAD2B5" w14:textId="617EBD38" w:rsidR="00371251" w:rsidRPr="00371251" w:rsidRDefault="00371251" w:rsidP="00371251">
            <w:pPr>
              <w:rPr>
                <w:b/>
                <w:bCs/>
              </w:rPr>
            </w:pPr>
            <w:r w:rsidRPr="00371251">
              <w:rPr>
                <w:b/>
                <w:bCs/>
              </w:rPr>
              <w:t>Readings (you will occasionally be advised of additional required readings/podcasts for each topic)</w:t>
            </w:r>
          </w:p>
        </w:tc>
      </w:tr>
      <w:tr w:rsidR="00371251" w14:paraId="12B1A451" w14:textId="77777777" w:rsidTr="00371251">
        <w:tc>
          <w:tcPr>
            <w:tcW w:w="988" w:type="dxa"/>
          </w:tcPr>
          <w:p w14:paraId="313960C7" w14:textId="740079F7" w:rsidR="00371251" w:rsidRDefault="00371251" w:rsidP="00B47BFF">
            <w:pPr>
              <w:jc w:val="both"/>
            </w:pPr>
            <w:r>
              <w:t>1&amp;2</w:t>
            </w:r>
          </w:p>
        </w:tc>
        <w:tc>
          <w:tcPr>
            <w:tcW w:w="2835" w:type="dxa"/>
          </w:tcPr>
          <w:p w14:paraId="01427C8D" w14:textId="58F72D06" w:rsidR="00371251" w:rsidRDefault="00371251" w:rsidP="00B47BFF">
            <w:pPr>
              <w:jc w:val="both"/>
            </w:pPr>
            <w:r>
              <w:t>Presentation of financial statements</w:t>
            </w:r>
          </w:p>
        </w:tc>
        <w:tc>
          <w:tcPr>
            <w:tcW w:w="5527" w:type="dxa"/>
          </w:tcPr>
          <w:p w14:paraId="6EB0E0EC" w14:textId="15D7D63E" w:rsidR="00371251" w:rsidRDefault="00371251" w:rsidP="00B47BFF">
            <w:pPr>
              <w:jc w:val="both"/>
            </w:pPr>
            <w:r>
              <w:t>Lecture notes, Chapter 3 (Melville), IAS 1</w:t>
            </w:r>
          </w:p>
        </w:tc>
      </w:tr>
      <w:tr w:rsidR="00371251" w14:paraId="4130C6DE" w14:textId="77777777" w:rsidTr="00371251">
        <w:tc>
          <w:tcPr>
            <w:tcW w:w="988" w:type="dxa"/>
          </w:tcPr>
          <w:p w14:paraId="43F969B4" w14:textId="452CE411" w:rsidR="00371251" w:rsidRDefault="00371251" w:rsidP="00B47BFF">
            <w:pPr>
              <w:jc w:val="both"/>
            </w:pPr>
            <w:r>
              <w:t xml:space="preserve">3&amp;4 </w:t>
            </w:r>
          </w:p>
        </w:tc>
        <w:tc>
          <w:tcPr>
            <w:tcW w:w="2835" w:type="dxa"/>
          </w:tcPr>
          <w:p w14:paraId="5258F3A9" w14:textId="69177BB8" w:rsidR="00371251" w:rsidRDefault="00371251" w:rsidP="00B47BFF">
            <w:pPr>
              <w:jc w:val="both"/>
            </w:pPr>
            <w:r w:rsidRPr="00592B50">
              <w:rPr>
                <w:lang w:val="en-US"/>
              </w:rPr>
              <w:t>Property, Plant and Equipment</w:t>
            </w:r>
          </w:p>
        </w:tc>
        <w:tc>
          <w:tcPr>
            <w:tcW w:w="5527" w:type="dxa"/>
          </w:tcPr>
          <w:p w14:paraId="398868FF" w14:textId="2DE94562" w:rsidR="00371251" w:rsidRDefault="00371251" w:rsidP="00B47BFF">
            <w:pPr>
              <w:jc w:val="both"/>
            </w:pPr>
            <w:r>
              <w:t>Lecture notes, Chapter  (Melville), IAS 6</w:t>
            </w:r>
          </w:p>
        </w:tc>
      </w:tr>
      <w:tr w:rsidR="00371251" w14:paraId="26E86C96" w14:textId="77777777" w:rsidTr="00371251">
        <w:tc>
          <w:tcPr>
            <w:tcW w:w="988" w:type="dxa"/>
          </w:tcPr>
          <w:p w14:paraId="074A1063" w14:textId="6233192E" w:rsidR="00371251" w:rsidRDefault="00371251" w:rsidP="00371251">
            <w:pPr>
              <w:jc w:val="both"/>
            </w:pPr>
            <w:r>
              <w:t>5&amp;6</w:t>
            </w:r>
          </w:p>
        </w:tc>
        <w:tc>
          <w:tcPr>
            <w:tcW w:w="2835" w:type="dxa"/>
          </w:tcPr>
          <w:p w14:paraId="3F63625B" w14:textId="34ED5AEF" w:rsidR="00371251" w:rsidRDefault="00371251" w:rsidP="00371251">
            <w:pPr>
              <w:jc w:val="both"/>
            </w:pPr>
            <w:r w:rsidRPr="00592B50">
              <w:rPr>
                <w:lang w:val="en-US"/>
              </w:rPr>
              <w:t>Leases</w:t>
            </w:r>
          </w:p>
        </w:tc>
        <w:tc>
          <w:tcPr>
            <w:tcW w:w="5527" w:type="dxa"/>
          </w:tcPr>
          <w:p w14:paraId="62C12655" w14:textId="10C659AB" w:rsidR="00371251" w:rsidRDefault="00371251" w:rsidP="00371251">
            <w:pPr>
              <w:jc w:val="both"/>
            </w:pPr>
            <w:r>
              <w:t>Lecture notes, Chapter  (Melville), IFRS 16</w:t>
            </w:r>
          </w:p>
        </w:tc>
      </w:tr>
      <w:tr w:rsidR="00371251" w14:paraId="4F8CE6BC" w14:textId="77777777" w:rsidTr="00371251">
        <w:tc>
          <w:tcPr>
            <w:tcW w:w="988" w:type="dxa"/>
          </w:tcPr>
          <w:p w14:paraId="3D9A8AF0" w14:textId="06A44B95" w:rsidR="00371251" w:rsidRDefault="00371251" w:rsidP="00371251">
            <w:pPr>
              <w:jc w:val="both"/>
            </w:pPr>
            <w:r>
              <w:t>7&amp;8</w:t>
            </w:r>
          </w:p>
        </w:tc>
        <w:tc>
          <w:tcPr>
            <w:tcW w:w="2835" w:type="dxa"/>
          </w:tcPr>
          <w:p w14:paraId="54F42CF3" w14:textId="6EC74123" w:rsidR="00371251" w:rsidRPr="00592B50" w:rsidRDefault="00371251" w:rsidP="00371251">
            <w:pPr>
              <w:rPr>
                <w:bCs/>
                <w:lang w:val="en-US"/>
              </w:rPr>
            </w:pPr>
            <w:r w:rsidRPr="00592B50">
              <w:rPr>
                <w:bCs/>
                <w:lang w:val="en-US"/>
              </w:rPr>
              <w:t>Impairments</w:t>
            </w:r>
          </w:p>
          <w:p w14:paraId="366D3F85" w14:textId="20A1E718" w:rsidR="00371251" w:rsidRPr="00592B50" w:rsidRDefault="00371251" w:rsidP="00371251">
            <w:pPr>
              <w:rPr>
                <w:bCs/>
                <w:lang w:val="en-US"/>
              </w:rPr>
            </w:pPr>
            <w:r w:rsidRPr="00592B50">
              <w:rPr>
                <w:bCs/>
                <w:lang w:val="en-US"/>
              </w:rPr>
              <w:t>Investment Property</w:t>
            </w:r>
          </w:p>
          <w:p w14:paraId="6CD0E7DC" w14:textId="400EC6DE" w:rsidR="00371251" w:rsidRDefault="00371251" w:rsidP="00371251">
            <w:pPr>
              <w:jc w:val="both"/>
            </w:pPr>
            <w:r w:rsidRPr="00592B50">
              <w:rPr>
                <w:bCs/>
                <w:lang w:val="en-US"/>
              </w:rPr>
              <w:t>Borrowing costs</w:t>
            </w:r>
          </w:p>
        </w:tc>
        <w:tc>
          <w:tcPr>
            <w:tcW w:w="5527" w:type="dxa"/>
          </w:tcPr>
          <w:p w14:paraId="255BD87C" w14:textId="63AA3DCD" w:rsidR="00371251" w:rsidRDefault="00371251" w:rsidP="00371251">
            <w:pPr>
              <w:jc w:val="both"/>
            </w:pPr>
            <w:r>
              <w:t xml:space="preserve">Lecture notes, Chapter (Melville), IAS 36, IAS 40, IAS 23 </w:t>
            </w:r>
          </w:p>
        </w:tc>
      </w:tr>
      <w:tr w:rsidR="00371251" w14:paraId="4BE35428" w14:textId="77777777" w:rsidTr="00371251">
        <w:tc>
          <w:tcPr>
            <w:tcW w:w="988" w:type="dxa"/>
          </w:tcPr>
          <w:p w14:paraId="6B7CA465" w14:textId="5C79C679" w:rsidR="00371251" w:rsidRDefault="00371251" w:rsidP="00371251">
            <w:pPr>
              <w:jc w:val="both"/>
            </w:pPr>
            <w:r>
              <w:t>9&amp;10</w:t>
            </w:r>
          </w:p>
        </w:tc>
        <w:tc>
          <w:tcPr>
            <w:tcW w:w="2835" w:type="dxa"/>
          </w:tcPr>
          <w:p w14:paraId="3420BB4E" w14:textId="5E017479" w:rsidR="00371251" w:rsidRPr="00592B50" w:rsidRDefault="00371251" w:rsidP="00371251">
            <w:pPr>
              <w:rPr>
                <w:bCs/>
                <w:lang w:val="en-US"/>
              </w:rPr>
            </w:pPr>
            <w:r w:rsidRPr="00592B50">
              <w:rPr>
                <w:bCs/>
                <w:lang w:val="en-US"/>
              </w:rPr>
              <w:t>Intangible Assets</w:t>
            </w:r>
          </w:p>
          <w:p w14:paraId="27BB9853" w14:textId="2BEE7221" w:rsidR="00371251" w:rsidRDefault="00371251" w:rsidP="00371251">
            <w:pPr>
              <w:jc w:val="both"/>
            </w:pPr>
            <w:r w:rsidRPr="00592B50">
              <w:rPr>
                <w:bCs/>
                <w:lang w:val="en-US"/>
              </w:rPr>
              <w:t>Government Grants</w:t>
            </w:r>
          </w:p>
        </w:tc>
        <w:tc>
          <w:tcPr>
            <w:tcW w:w="5527" w:type="dxa"/>
          </w:tcPr>
          <w:p w14:paraId="62CF75B4" w14:textId="2B9A6AD7" w:rsidR="00371251" w:rsidRDefault="00371251" w:rsidP="00371251">
            <w:pPr>
              <w:jc w:val="both"/>
            </w:pPr>
            <w:r>
              <w:t xml:space="preserve">Lecture notes, Chapter 3 (Melville), IAS 38, IAS 20 </w:t>
            </w:r>
          </w:p>
        </w:tc>
      </w:tr>
      <w:tr w:rsidR="00371251" w14:paraId="320EF87F" w14:textId="77777777" w:rsidTr="00371251">
        <w:tc>
          <w:tcPr>
            <w:tcW w:w="988" w:type="dxa"/>
          </w:tcPr>
          <w:p w14:paraId="6B204D3C" w14:textId="1D66A495" w:rsidR="00371251" w:rsidRDefault="00371251" w:rsidP="00371251">
            <w:pPr>
              <w:jc w:val="both"/>
            </w:pPr>
            <w:r>
              <w:t xml:space="preserve">11&amp;12 </w:t>
            </w:r>
          </w:p>
        </w:tc>
        <w:tc>
          <w:tcPr>
            <w:tcW w:w="2835" w:type="dxa"/>
          </w:tcPr>
          <w:p w14:paraId="320AFE3D" w14:textId="77777777" w:rsidR="00371251" w:rsidRPr="00592B50" w:rsidRDefault="00371251" w:rsidP="00371251">
            <w:pPr>
              <w:shd w:val="clear" w:color="auto" w:fill="FFFFFF"/>
              <w:rPr>
                <w:color w:val="000000"/>
                <w:lang w:val="en-US" w:eastAsia="en-US"/>
              </w:rPr>
            </w:pPr>
            <w:r w:rsidRPr="00592B50">
              <w:rPr>
                <w:color w:val="000000"/>
                <w:lang w:val="en-US"/>
              </w:rPr>
              <w:t>IAS 2 Inventory</w:t>
            </w:r>
          </w:p>
          <w:p w14:paraId="513FD44F" w14:textId="6AC84186" w:rsidR="00371251" w:rsidRDefault="00371251" w:rsidP="00371251">
            <w:pPr>
              <w:jc w:val="both"/>
            </w:pPr>
            <w:r w:rsidRPr="00592B50">
              <w:rPr>
                <w:color w:val="000000"/>
                <w:lang w:val="en-US"/>
              </w:rPr>
              <w:t>Theory of accounting</w:t>
            </w:r>
          </w:p>
        </w:tc>
        <w:tc>
          <w:tcPr>
            <w:tcW w:w="5527" w:type="dxa"/>
          </w:tcPr>
          <w:p w14:paraId="18C0A88D" w14:textId="2680CD3B" w:rsidR="00371251" w:rsidRDefault="00371251" w:rsidP="00371251">
            <w:pPr>
              <w:jc w:val="both"/>
            </w:pPr>
            <w:r>
              <w:t>Lecture notes, Chapter 3 (Melville), IAS 2</w:t>
            </w:r>
          </w:p>
        </w:tc>
      </w:tr>
      <w:tr w:rsidR="00371251" w14:paraId="4C3A9FBB" w14:textId="77777777" w:rsidTr="00371251">
        <w:tc>
          <w:tcPr>
            <w:tcW w:w="988" w:type="dxa"/>
          </w:tcPr>
          <w:p w14:paraId="036000B9" w14:textId="2B6E2C07" w:rsidR="00371251" w:rsidRDefault="00371251" w:rsidP="00371251">
            <w:pPr>
              <w:jc w:val="both"/>
            </w:pPr>
            <w:r>
              <w:t xml:space="preserve">13&amp;14 </w:t>
            </w:r>
          </w:p>
        </w:tc>
        <w:tc>
          <w:tcPr>
            <w:tcW w:w="2835" w:type="dxa"/>
          </w:tcPr>
          <w:p w14:paraId="150871DB" w14:textId="2013B76B" w:rsidR="00371251" w:rsidRDefault="00371251" w:rsidP="00371251">
            <w:pPr>
              <w:jc w:val="both"/>
            </w:pPr>
            <w:r>
              <w:t xml:space="preserve">Business Combinations </w:t>
            </w:r>
          </w:p>
        </w:tc>
        <w:tc>
          <w:tcPr>
            <w:tcW w:w="5527" w:type="dxa"/>
          </w:tcPr>
          <w:p w14:paraId="00049E54" w14:textId="12AFAA71" w:rsidR="00371251" w:rsidRDefault="00371251" w:rsidP="00371251">
            <w:pPr>
              <w:jc w:val="both"/>
            </w:pPr>
            <w:r>
              <w:t>Lecture notes, Chapter 3 (Melville), IFRS 10</w:t>
            </w:r>
          </w:p>
        </w:tc>
      </w:tr>
    </w:tbl>
    <w:p w14:paraId="537B7290" w14:textId="77777777" w:rsidR="00B47BFF" w:rsidRDefault="00B47BFF" w:rsidP="00B47BFF">
      <w:pPr>
        <w:jc w:val="both"/>
      </w:pPr>
    </w:p>
    <w:p w14:paraId="7F79B1EB" w14:textId="77777777" w:rsidR="00371251" w:rsidRPr="00592B50" w:rsidRDefault="00371251" w:rsidP="00B47BFF">
      <w:pPr>
        <w:jc w:val="both"/>
      </w:pPr>
    </w:p>
    <w:p w14:paraId="7F0B9CAF" w14:textId="77777777" w:rsidR="00D6718A" w:rsidRPr="00592B50" w:rsidRDefault="00D6718A" w:rsidP="00D6718A">
      <w:pPr>
        <w:pStyle w:val="BodyText2"/>
        <w:jc w:val="both"/>
        <w:rPr>
          <w:b/>
          <w:i w:val="0"/>
          <w:iCs w:val="0"/>
          <w:smallCaps/>
          <w:sz w:val="24"/>
        </w:rPr>
      </w:pPr>
      <w:r w:rsidRPr="00592B50">
        <w:rPr>
          <w:sz w:val="24"/>
        </w:rPr>
        <w:br w:type="page"/>
      </w:r>
      <w:r w:rsidRPr="00592B50">
        <w:rPr>
          <w:b/>
          <w:i w:val="0"/>
          <w:iCs w:val="0"/>
          <w:smallCaps/>
          <w:sz w:val="24"/>
        </w:rPr>
        <w:lastRenderedPageBreak/>
        <w:t xml:space="preserve">Biographical Note: </w:t>
      </w:r>
    </w:p>
    <w:p w14:paraId="6CEF60D0" w14:textId="77777777" w:rsidR="00D6718A" w:rsidRPr="00592B50" w:rsidRDefault="00D6718A" w:rsidP="00D6718A">
      <w:pPr>
        <w:pStyle w:val="BodyText2"/>
        <w:jc w:val="both"/>
        <w:rPr>
          <w:i w:val="0"/>
          <w:iCs w:val="0"/>
          <w:sz w:val="24"/>
        </w:rPr>
      </w:pPr>
    </w:p>
    <w:p w14:paraId="4C690E9B" w14:textId="0DBB7D51" w:rsidR="00A66C21" w:rsidRDefault="00A66C21" w:rsidP="001532AA">
      <w:pPr>
        <w:pStyle w:val="BodyText2"/>
        <w:rPr>
          <w:sz w:val="24"/>
        </w:rPr>
      </w:pPr>
    </w:p>
    <w:p w14:paraId="6CB82C98" w14:textId="6446B4B5" w:rsidR="00635B07" w:rsidRPr="00087558" w:rsidRDefault="00087558" w:rsidP="001532AA">
      <w:pPr>
        <w:pStyle w:val="BodyText2"/>
        <w:rPr>
          <w:i w:val="0"/>
          <w:iCs w:val="0"/>
          <w:sz w:val="24"/>
        </w:rPr>
      </w:pPr>
      <w:r w:rsidRPr="00087558">
        <w:rPr>
          <w:i w:val="0"/>
          <w:iCs w:val="0"/>
          <w:sz w:val="24"/>
        </w:rPr>
        <w:t xml:space="preserve">Amanda Roe holds the position of Teaching Fellow in Accountancy and Workplace Well-being at Trinity Business School. She is a Chartered Accountant with many years' </w:t>
      </w:r>
      <w:proofErr w:type="gramStart"/>
      <w:r w:rsidRPr="00087558">
        <w:rPr>
          <w:i w:val="0"/>
          <w:iCs w:val="0"/>
          <w:sz w:val="24"/>
        </w:rPr>
        <w:t>experience</w:t>
      </w:r>
      <w:proofErr w:type="gramEnd"/>
      <w:r w:rsidRPr="00087558">
        <w:rPr>
          <w:i w:val="0"/>
          <w:iCs w:val="0"/>
          <w:sz w:val="24"/>
        </w:rPr>
        <w:t xml:space="preserve"> in both practice and industry. She holds a Bachelor of Business from University of Limerick, and a </w:t>
      </w:r>
      <w:proofErr w:type="gramStart"/>
      <w:r w:rsidRPr="00087558">
        <w:rPr>
          <w:i w:val="0"/>
          <w:iCs w:val="0"/>
          <w:sz w:val="24"/>
        </w:rPr>
        <w:t>Master's degree in Accounting</w:t>
      </w:r>
      <w:proofErr w:type="gramEnd"/>
      <w:r w:rsidRPr="00087558">
        <w:rPr>
          <w:i w:val="0"/>
          <w:iCs w:val="0"/>
          <w:sz w:val="24"/>
        </w:rPr>
        <w:t xml:space="preserve"> from University College Dublin. Teaching responsibilities in Trinity include undergraduate modules in introduction to accounting and financial reporting. Amanda is currently conducting doctoral research concerning employee attitudes post COVID19. </w:t>
      </w:r>
    </w:p>
    <w:sectPr w:rsidR="00635B07" w:rsidRPr="00087558"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54F7" w14:textId="77777777" w:rsidR="00062957" w:rsidRDefault="00062957" w:rsidP="006D6D3A">
      <w:r>
        <w:separator/>
      </w:r>
    </w:p>
  </w:endnote>
  <w:endnote w:type="continuationSeparator" w:id="0">
    <w:p w14:paraId="1007B2BF" w14:textId="77777777" w:rsidR="00062957" w:rsidRDefault="00062957"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EB3E" w14:textId="77777777" w:rsidR="00062957" w:rsidRDefault="00062957" w:rsidP="006D6D3A">
      <w:r>
        <w:separator/>
      </w:r>
    </w:p>
  </w:footnote>
  <w:footnote w:type="continuationSeparator" w:id="0">
    <w:p w14:paraId="12073F76" w14:textId="77777777" w:rsidR="00062957" w:rsidRDefault="00062957"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A0F8"/>
    <w:multiLevelType w:val="hybridMultilevel"/>
    <w:tmpl w:val="35D0BB28"/>
    <w:lvl w:ilvl="0" w:tplc="813E84E0">
      <w:start w:val="1"/>
      <w:numFmt w:val="decimal"/>
      <w:lvlText w:val="%1."/>
      <w:lvlJc w:val="left"/>
      <w:pPr>
        <w:ind w:left="720" w:hanging="360"/>
      </w:pPr>
    </w:lvl>
    <w:lvl w:ilvl="1" w:tplc="2CF048BE">
      <w:start w:val="1"/>
      <w:numFmt w:val="lowerLetter"/>
      <w:lvlText w:val="%2."/>
      <w:lvlJc w:val="left"/>
      <w:pPr>
        <w:ind w:left="1440" w:hanging="360"/>
      </w:pPr>
    </w:lvl>
    <w:lvl w:ilvl="2" w:tplc="09041ECA">
      <w:start w:val="1"/>
      <w:numFmt w:val="lowerRoman"/>
      <w:lvlText w:val="%3."/>
      <w:lvlJc w:val="right"/>
      <w:pPr>
        <w:ind w:left="2160" w:hanging="180"/>
      </w:pPr>
    </w:lvl>
    <w:lvl w:ilvl="3" w:tplc="789C91A2">
      <w:start w:val="1"/>
      <w:numFmt w:val="decimal"/>
      <w:lvlText w:val="%4."/>
      <w:lvlJc w:val="left"/>
      <w:pPr>
        <w:ind w:left="2880" w:hanging="360"/>
      </w:pPr>
    </w:lvl>
    <w:lvl w:ilvl="4" w:tplc="8F0C2306">
      <w:start w:val="1"/>
      <w:numFmt w:val="lowerLetter"/>
      <w:lvlText w:val="%5."/>
      <w:lvlJc w:val="left"/>
      <w:pPr>
        <w:ind w:left="3600" w:hanging="360"/>
      </w:pPr>
    </w:lvl>
    <w:lvl w:ilvl="5" w:tplc="1338C802">
      <w:start w:val="1"/>
      <w:numFmt w:val="lowerRoman"/>
      <w:lvlText w:val="%6."/>
      <w:lvlJc w:val="right"/>
      <w:pPr>
        <w:ind w:left="4320" w:hanging="180"/>
      </w:pPr>
    </w:lvl>
    <w:lvl w:ilvl="6" w:tplc="6C682A3E">
      <w:start w:val="1"/>
      <w:numFmt w:val="decimal"/>
      <w:lvlText w:val="%7."/>
      <w:lvlJc w:val="left"/>
      <w:pPr>
        <w:ind w:left="5040" w:hanging="360"/>
      </w:pPr>
    </w:lvl>
    <w:lvl w:ilvl="7" w:tplc="0C4ABE54">
      <w:start w:val="1"/>
      <w:numFmt w:val="lowerLetter"/>
      <w:lvlText w:val="%8."/>
      <w:lvlJc w:val="left"/>
      <w:pPr>
        <w:ind w:left="5760" w:hanging="360"/>
      </w:pPr>
    </w:lvl>
    <w:lvl w:ilvl="8" w:tplc="4D32CEB8">
      <w:start w:val="1"/>
      <w:numFmt w:val="lowerRoman"/>
      <w:lvlText w:val="%9."/>
      <w:lvlJc w:val="right"/>
      <w:pPr>
        <w:ind w:left="6480" w:hanging="180"/>
      </w:pPr>
    </w:lvl>
  </w:abstractNum>
  <w:abstractNum w:abstractNumId="1"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 w15:restartNumberingAfterBreak="0">
    <w:nsid w:val="31F371F9"/>
    <w:multiLevelType w:val="hybridMultilevel"/>
    <w:tmpl w:val="4F909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3"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E774B"/>
    <w:multiLevelType w:val="hybridMultilevel"/>
    <w:tmpl w:val="862A6A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A517B9"/>
    <w:multiLevelType w:val="hybridMultilevel"/>
    <w:tmpl w:val="910E45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0"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9762E1"/>
    <w:multiLevelType w:val="hybridMultilevel"/>
    <w:tmpl w:val="3A02B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8686125">
    <w:abstractNumId w:val="5"/>
  </w:num>
  <w:num w:numId="2" w16cid:durableId="1628315078">
    <w:abstractNumId w:val="12"/>
  </w:num>
  <w:num w:numId="3" w16cid:durableId="1720338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5827535">
    <w:abstractNumId w:val="24"/>
  </w:num>
  <w:num w:numId="5" w16cid:durableId="175703869">
    <w:abstractNumId w:val="4"/>
  </w:num>
  <w:num w:numId="6" w16cid:durableId="1381516259">
    <w:abstractNumId w:val="23"/>
  </w:num>
  <w:num w:numId="7" w16cid:durableId="955018882">
    <w:abstractNumId w:val="28"/>
  </w:num>
  <w:num w:numId="8" w16cid:durableId="1802654340">
    <w:abstractNumId w:val="25"/>
  </w:num>
  <w:num w:numId="9" w16cid:durableId="417943530">
    <w:abstractNumId w:val="7"/>
  </w:num>
  <w:num w:numId="10" w16cid:durableId="2120953090">
    <w:abstractNumId w:val="13"/>
  </w:num>
  <w:num w:numId="11" w16cid:durableId="888959053">
    <w:abstractNumId w:val="27"/>
  </w:num>
  <w:num w:numId="12" w16cid:durableId="285041159">
    <w:abstractNumId w:val="18"/>
  </w:num>
  <w:num w:numId="13" w16cid:durableId="155466060">
    <w:abstractNumId w:val="3"/>
  </w:num>
  <w:num w:numId="14" w16cid:durableId="1574003046">
    <w:abstractNumId w:val="20"/>
  </w:num>
  <w:num w:numId="15" w16cid:durableId="1971013863">
    <w:abstractNumId w:val="14"/>
  </w:num>
  <w:num w:numId="16" w16cid:durableId="1613052864">
    <w:abstractNumId w:val="19"/>
  </w:num>
  <w:num w:numId="17" w16cid:durableId="1983848318">
    <w:abstractNumId w:val="1"/>
  </w:num>
  <w:num w:numId="18" w16cid:durableId="1274554691">
    <w:abstractNumId w:val="8"/>
  </w:num>
  <w:num w:numId="19" w16cid:durableId="1179391717">
    <w:abstractNumId w:val="2"/>
  </w:num>
  <w:num w:numId="20" w16cid:durableId="277182687">
    <w:abstractNumId w:val="22"/>
  </w:num>
  <w:num w:numId="21" w16cid:durableId="10761227">
    <w:abstractNumId w:val="6"/>
  </w:num>
  <w:num w:numId="22" w16cid:durableId="65035311">
    <w:abstractNumId w:val="17"/>
  </w:num>
  <w:num w:numId="23" w16cid:durableId="1248883944">
    <w:abstractNumId w:val="11"/>
  </w:num>
  <w:num w:numId="24" w16cid:durableId="1600798466">
    <w:abstractNumId w:val="10"/>
  </w:num>
  <w:num w:numId="25" w16cid:durableId="1286037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6025833">
    <w:abstractNumId w:val="9"/>
  </w:num>
  <w:num w:numId="27" w16cid:durableId="392973854">
    <w:abstractNumId w:val="26"/>
  </w:num>
  <w:num w:numId="28" w16cid:durableId="1839534898">
    <w:abstractNumId w:val="15"/>
  </w:num>
  <w:num w:numId="29" w16cid:durableId="1033308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8A"/>
    <w:rsid w:val="0001524C"/>
    <w:rsid w:val="00053A9E"/>
    <w:rsid w:val="00062957"/>
    <w:rsid w:val="0006463E"/>
    <w:rsid w:val="00073312"/>
    <w:rsid w:val="0008514B"/>
    <w:rsid w:val="00087558"/>
    <w:rsid w:val="00090B67"/>
    <w:rsid w:val="000924CD"/>
    <w:rsid w:val="000A2C1D"/>
    <w:rsid w:val="000F2001"/>
    <w:rsid w:val="00105706"/>
    <w:rsid w:val="00122CE5"/>
    <w:rsid w:val="00137F92"/>
    <w:rsid w:val="001532AA"/>
    <w:rsid w:val="001628FD"/>
    <w:rsid w:val="001920C6"/>
    <w:rsid w:val="00193AA7"/>
    <w:rsid w:val="001A42FD"/>
    <w:rsid w:val="001A79FA"/>
    <w:rsid w:val="001B1932"/>
    <w:rsid w:val="001F198D"/>
    <w:rsid w:val="002B250F"/>
    <w:rsid w:val="002B5410"/>
    <w:rsid w:val="002C4004"/>
    <w:rsid w:val="002D0003"/>
    <w:rsid w:val="002F56BA"/>
    <w:rsid w:val="002F6524"/>
    <w:rsid w:val="00311AAB"/>
    <w:rsid w:val="0033323E"/>
    <w:rsid w:val="003631DA"/>
    <w:rsid w:val="00371251"/>
    <w:rsid w:val="003A107A"/>
    <w:rsid w:val="003D42C9"/>
    <w:rsid w:val="003E524A"/>
    <w:rsid w:val="003F6201"/>
    <w:rsid w:val="00401F4B"/>
    <w:rsid w:val="004112F4"/>
    <w:rsid w:val="00461A68"/>
    <w:rsid w:val="004963C6"/>
    <w:rsid w:val="004A183D"/>
    <w:rsid w:val="004D2AEC"/>
    <w:rsid w:val="004D57ED"/>
    <w:rsid w:val="004D5D0E"/>
    <w:rsid w:val="004D7E40"/>
    <w:rsid w:val="004E6C2A"/>
    <w:rsid w:val="004F09A5"/>
    <w:rsid w:val="004F443E"/>
    <w:rsid w:val="004F6C92"/>
    <w:rsid w:val="004F7BD7"/>
    <w:rsid w:val="0052197E"/>
    <w:rsid w:val="0054217E"/>
    <w:rsid w:val="00570204"/>
    <w:rsid w:val="00586962"/>
    <w:rsid w:val="00591D81"/>
    <w:rsid w:val="00592B50"/>
    <w:rsid w:val="005A2E11"/>
    <w:rsid w:val="005D09D8"/>
    <w:rsid w:val="00614B4B"/>
    <w:rsid w:val="00616B8F"/>
    <w:rsid w:val="00631103"/>
    <w:rsid w:val="00635B07"/>
    <w:rsid w:val="00635F54"/>
    <w:rsid w:val="006378F8"/>
    <w:rsid w:val="00646B21"/>
    <w:rsid w:val="00651DF3"/>
    <w:rsid w:val="00656B45"/>
    <w:rsid w:val="00671759"/>
    <w:rsid w:val="00687322"/>
    <w:rsid w:val="00695994"/>
    <w:rsid w:val="0069718B"/>
    <w:rsid w:val="006B28DA"/>
    <w:rsid w:val="006D27EA"/>
    <w:rsid w:val="006D6D3A"/>
    <w:rsid w:val="007264F3"/>
    <w:rsid w:val="00795F48"/>
    <w:rsid w:val="007974CD"/>
    <w:rsid w:val="007A793B"/>
    <w:rsid w:val="007C28D7"/>
    <w:rsid w:val="007C59CC"/>
    <w:rsid w:val="007C5F2F"/>
    <w:rsid w:val="007E5944"/>
    <w:rsid w:val="00821ACE"/>
    <w:rsid w:val="00894FEA"/>
    <w:rsid w:val="008D6D65"/>
    <w:rsid w:val="008F51CC"/>
    <w:rsid w:val="0090417E"/>
    <w:rsid w:val="00931645"/>
    <w:rsid w:val="009435AD"/>
    <w:rsid w:val="00953873"/>
    <w:rsid w:val="009C3FCD"/>
    <w:rsid w:val="009D2EF9"/>
    <w:rsid w:val="009E6214"/>
    <w:rsid w:val="009F3480"/>
    <w:rsid w:val="00A15843"/>
    <w:rsid w:val="00A57B9F"/>
    <w:rsid w:val="00A66C21"/>
    <w:rsid w:val="00AA00B2"/>
    <w:rsid w:val="00AA2795"/>
    <w:rsid w:val="00AA7743"/>
    <w:rsid w:val="00AB1E05"/>
    <w:rsid w:val="00B05442"/>
    <w:rsid w:val="00B44857"/>
    <w:rsid w:val="00B47BFF"/>
    <w:rsid w:val="00B932A4"/>
    <w:rsid w:val="00B95931"/>
    <w:rsid w:val="00BB162C"/>
    <w:rsid w:val="00BB4B31"/>
    <w:rsid w:val="00BD63C0"/>
    <w:rsid w:val="00C11B5B"/>
    <w:rsid w:val="00C35334"/>
    <w:rsid w:val="00C604FB"/>
    <w:rsid w:val="00C7627F"/>
    <w:rsid w:val="00C86D92"/>
    <w:rsid w:val="00C9655B"/>
    <w:rsid w:val="00CA71E4"/>
    <w:rsid w:val="00CD6A0E"/>
    <w:rsid w:val="00CF210B"/>
    <w:rsid w:val="00D36A3C"/>
    <w:rsid w:val="00D5221D"/>
    <w:rsid w:val="00D6718A"/>
    <w:rsid w:val="00D67A95"/>
    <w:rsid w:val="00D84F32"/>
    <w:rsid w:val="00D87F26"/>
    <w:rsid w:val="00DA1E44"/>
    <w:rsid w:val="00DC3B29"/>
    <w:rsid w:val="00DC7225"/>
    <w:rsid w:val="00E25028"/>
    <w:rsid w:val="00E7754F"/>
    <w:rsid w:val="00E943A8"/>
    <w:rsid w:val="00EB4DA4"/>
    <w:rsid w:val="00EC7CCC"/>
    <w:rsid w:val="00F678D4"/>
    <w:rsid w:val="00F765CD"/>
    <w:rsid w:val="00F8120D"/>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290D8"/>
  <w15:docId w15:val="{3FCEBE40-3B99-4AE0-809E-0107F410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4678">
      <w:bodyDiv w:val="1"/>
      <w:marLeft w:val="0"/>
      <w:marRight w:val="0"/>
      <w:marTop w:val="0"/>
      <w:marBottom w:val="0"/>
      <w:divBdr>
        <w:top w:val="none" w:sz="0" w:space="0" w:color="auto"/>
        <w:left w:val="none" w:sz="0" w:space="0" w:color="auto"/>
        <w:bottom w:val="none" w:sz="0" w:space="0" w:color="auto"/>
        <w:right w:val="none" w:sz="0" w:space="0" w:color="auto"/>
      </w:divBdr>
    </w:div>
    <w:div w:id="354843152">
      <w:bodyDiv w:val="1"/>
      <w:marLeft w:val="0"/>
      <w:marRight w:val="0"/>
      <w:marTop w:val="0"/>
      <w:marBottom w:val="0"/>
      <w:divBdr>
        <w:top w:val="none" w:sz="0" w:space="0" w:color="auto"/>
        <w:left w:val="none" w:sz="0" w:space="0" w:color="auto"/>
        <w:bottom w:val="none" w:sz="0" w:space="0" w:color="auto"/>
        <w:right w:val="none" w:sz="0" w:space="0" w:color="auto"/>
      </w:divBdr>
    </w:div>
    <w:div w:id="396825335">
      <w:bodyDiv w:val="1"/>
      <w:marLeft w:val="0"/>
      <w:marRight w:val="0"/>
      <w:marTop w:val="0"/>
      <w:marBottom w:val="0"/>
      <w:divBdr>
        <w:top w:val="none" w:sz="0" w:space="0" w:color="auto"/>
        <w:left w:val="none" w:sz="0" w:space="0" w:color="auto"/>
        <w:bottom w:val="none" w:sz="0" w:space="0" w:color="auto"/>
        <w:right w:val="none" w:sz="0" w:space="0" w:color="auto"/>
      </w:divBdr>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242547">
      <w:bodyDiv w:val="1"/>
      <w:marLeft w:val="0"/>
      <w:marRight w:val="0"/>
      <w:marTop w:val="0"/>
      <w:marBottom w:val="0"/>
      <w:divBdr>
        <w:top w:val="none" w:sz="0" w:space="0" w:color="auto"/>
        <w:left w:val="none" w:sz="0" w:space="0" w:color="auto"/>
        <w:bottom w:val="none" w:sz="0" w:space="0" w:color="auto"/>
        <w:right w:val="none" w:sz="0" w:space="0" w:color="auto"/>
      </w:divBdr>
    </w:div>
    <w:div w:id="654839186">
      <w:bodyDiv w:val="1"/>
      <w:marLeft w:val="0"/>
      <w:marRight w:val="0"/>
      <w:marTop w:val="0"/>
      <w:marBottom w:val="0"/>
      <w:divBdr>
        <w:top w:val="none" w:sz="0" w:space="0" w:color="auto"/>
        <w:left w:val="none" w:sz="0" w:space="0" w:color="auto"/>
        <w:bottom w:val="none" w:sz="0" w:space="0" w:color="auto"/>
        <w:right w:val="none" w:sz="0" w:space="0" w:color="auto"/>
      </w:divBdr>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5635">
      <w:bodyDiv w:val="1"/>
      <w:marLeft w:val="0"/>
      <w:marRight w:val="0"/>
      <w:marTop w:val="0"/>
      <w:marBottom w:val="0"/>
      <w:divBdr>
        <w:top w:val="none" w:sz="0" w:space="0" w:color="auto"/>
        <w:left w:val="none" w:sz="0" w:space="0" w:color="auto"/>
        <w:bottom w:val="none" w:sz="0" w:space="0" w:color="auto"/>
        <w:right w:val="none" w:sz="0" w:space="0" w:color="auto"/>
      </w:divBdr>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01216473">
      <w:bodyDiv w:val="1"/>
      <w:marLeft w:val="0"/>
      <w:marRight w:val="0"/>
      <w:marTop w:val="0"/>
      <w:marBottom w:val="0"/>
      <w:divBdr>
        <w:top w:val="none" w:sz="0" w:space="0" w:color="auto"/>
        <w:left w:val="none" w:sz="0" w:space="0" w:color="auto"/>
        <w:bottom w:val="none" w:sz="0" w:space="0" w:color="auto"/>
        <w:right w:val="none" w:sz="0" w:space="0" w:color="auto"/>
      </w:divBdr>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95594">
      <w:bodyDiv w:val="1"/>
      <w:marLeft w:val="0"/>
      <w:marRight w:val="0"/>
      <w:marTop w:val="0"/>
      <w:marBottom w:val="0"/>
      <w:divBdr>
        <w:top w:val="none" w:sz="0" w:space="0" w:color="auto"/>
        <w:left w:val="none" w:sz="0" w:space="0" w:color="auto"/>
        <w:bottom w:val="none" w:sz="0" w:space="0" w:color="auto"/>
        <w:right w:val="none" w:sz="0" w:space="0" w:color="auto"/>
      </w:divBdr>
    </w:div>
    <w:div w:id="1466655592">
      <w:bodyDiv w:val="1"/>
      <w:marLeft w:val="0"/>
      <w:marRight w:val="0"/>
      <w:marTop w:val="0"/>
      <w:marBottom w:val="0"/>
      <w:divBdr>
        <w:top w:val="none" w:sz="0" w:space="0" w:color="auto"/>
        <w:left w:val="none" w:sz="0" w:space="0" w:color="auto"/>
        <w:bottom w:val="none" w:sz="0" w:space="0" w:color="auto"/>
        <w:right w:val="none" w:sz="0" w:space="0" w:color="auto"/>
      </w:divBdr>
    </w:div>
    <w:div w:id="1701084606">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C0D64-2BF0-481F-9540-CF0C0A0B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Agnew</dc:creator>
  <cp:lastModifiedBy>Amanda Roe</cp:lastModifiedBy>
  <cp:revision>5</cp:revision>
  <dcterms:created xsi:type="dcterms:W3CDTF">2026-06-22T11:15:00Z</dcterms:created>
  <dcterms:modified xsi:type="dcterms:W3CDTF">2026-07-06T09:23:00Z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GrammarlyDocumentId">
    <vt:lpwstr>c74123e3ceb1c5f52cf3981dff24200bba6e319d0d0869457d395d66ef5b1fc1</vt:lpwstr>
  </property>
</Properties>
</file>