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val="en-GB" w:eastAsia="en-GB"/>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5281085F" w14:textId="17F87952" w:rsidR="006B2DE4" w:rsidRDefault="006B2DE4" w:rsidP="006B2DE4">
      <w:pPr>
        <w:pStyle w:val="Heading1"/>
        <w:jc w:val="center"/>
        <w:rPr>
          <w:rFonts w:ascii="Arial" w:hAnsi="Arial" w:cs="Arial"/>
        </w:rPr>
      </w:pPr>
      <w:r>
        <w:rPr>
          <w:rFonts w:ascii="Arial" w:hAnsi="Arial" w:cs="Arial"/>
        </w:rPr>
        <w:tab/>
        <w:t>Management Accounting for Business Decisions II 202</w:t>
      </w:r>
      <w:r w:rsidR="00354853">
        <w:rPr>
          <w:rFonts w:ascii="Arial" w:hAnsi="Arial" w:cs="Arial"/>
        </w:rPr>
        <w:t>6</w:t>
      </w:r>
      <w:r>
        <w:rPr>
          <w:rFonts w:ascii="Arial" w:hAnsi="Arial" w:cs="Arial"/>
        </w:rPr>
        <w:t>/2</w:t>
      </w:r>
      <w:r w:rsidR="00354853">
        <w:rPr>
          <w:rFonts w:ascii="Arial" w:hAnsi="Arial" w:cs="Arial"/>
        </w:rPr>
        <w:t>7</w:t>
      </w:r>
    </w:p>
    <w:p w14:paraId="1FEF455D" w14:textId="0022CF8D" w:rsidR="00D6718A" w:rsidRDefault="00D6718A" w:rsidP="00D6718A">
      <w:pPr>
        <w:pStyle w:val="Heading1"/>
        <w:rPr>
          <w:rFonts w:ascii="Arial" w:hAnsi="Arial" w:cs="Arial"/>
        </w:rPr>
      </w:pPr>
    </w:p>
    <w:p w14:paraId="3944BAB5" w14:textId="77777777" w:rsidR="00D6718A" w:rsidRDefault="00D6718A" w:rsidP="00D6718A"/>
    <w:p w14:paraId="1CBB74E4" w14:textId="6DAB2526" w:rsidR="00D6718A" w:rsidRDefault="00D6718A" w:rsidP="00D6718A">
      <w:pPr>
        <w:pStyle w:val="Heading1"/>
        <w:rPr>
          <w:rFonts w:ascii="Arial" w:hAnsi="Arial" w:cs="Arial"/>
        </w:rPr>
      </w:pPr>
      <w:r>
        <w:rPr>
          <w:rFonts w:ascii="Arial" w:hAnsi="Arial" w:cs="Arial"/>
        </w:rPr>
        <w:t xml:space="preserve">MODULE CODE: </w:t>
      </w:r>
      <w:r w:rsidR="001C367D">
        <w:rPr>
          <w:rFonts w:ascii="Arial" w:hAnsi="Arial" w:cs="Arial"/>
        </w:rPr>
        <w:tab/>
      </w:r>
      <w:r w:rsidR="001C367D">
        <w:rPr>
          <w:rFonts w:ascii="Arial" w:hAnsi="Arial" w:cs="Arial"/>
        </w:rPr>
        <w:tab/>
        <w:t>BUU335</w:t>
      </w:r>
      <w:r w:rsidR="008832B3">
        <w:rPr>
          <w:rFonts w:ascii="Arial" w:hAnsi="Arial" w:cs="Arial"/>
        </w:rPr>
        <w:t>22</w:t>
      </w:r>
    </w:p>
    <w:p w14:paraId="5E801F13" w14:textId="77777777" w:rsidR="00D6718A" w:rsidRDefault="00D6718A" w:rsidP="00D6718A"/>
    <w:p w14:paraId="74350A58" w14:textId="255539E9" w:rsidR="00D6718A" w:rsidRDefault="00D6718A" w:rsidP="00D6718A">
      <w:pPr>
        <w:pStyle w:val="Heading1"/>
        <w:rPr>
          <w:rFonts w:ascii="Arial" w:hAnsi="Arial" w:cs="Arial"/>
        </w:rPr>
      </w:pPr>
      <w:r>
        <w:rPr>
          <w:rFonts w:ascii="Arial" w:hAnsi="Arial" w:cs="Arial"/>
        </w:rPr>
        <w:t>MODULE NAME:</w:t>
      </w:r>
      <w:r w:rsidR="001C367D">
        <w:rPr>
          <w:rFonts w:ascii="Arial" w:hAnsi="Arial" w:cs="Arial"/>
        </w:rPr>
        <w:tab/>
      </w:r>
      <w:r w:rsidR="001C367D">
        <w:rPr>
          <w:rFonts w:ascii="Arial" w:hAnsi="Arial" w:cs="Arial"/>
        </w:rPr>
        <w:tab/>
      </w:r>
      <w:r w:rsidR="00AE4F93" w:rsidRPr="002F2F99">
        <w:rPr>
          <w:rFonts w:ascii="Arial" w:hAnsi="Arial" w:cs="Arial"/>
        </w:rPr>
        <w:t>Management Accounting for Business Decisions</w:t>
      </w:r>
      <w:r w:rsidR="00AE4F93">
        <w:rPr>
          <w:rFonts w:ascii="Arial" w:hAnsi="Arial" w:cs="Arial"/>
        </w:rPr>
        <w:t xml:space="preserve"> </w:t>
      </w:r>
      <w:r w:rsidR="001C367D">
        <w:rPr>
          <w:rFonts w:ascii="Arial" w:hAnsi="Arial" w:cs="Arial"/>
        </w:rPr>
        <w:t>I</w:t>
      </w:r>
      <w:r w:rsidR="00C537A3">
        <w:rPr>
          <w:rFonts w:ascii="Arial" w:hAnsi="Arial" w:cs="Arial"/>
        </w:rPr>
        <w:t>I</w:t>
      </w:r>
    </w:p>
    <w:p w14:paraId="31DAC822" w14:textId="77777777" w:rsidR="00D6718A" w:rsidRDefault="00D6718A" w:rsidP="00D6718A"/>
    <w:p w14:paraId="313C8510" w14:textId="279676B9" w:rsidR="00D6718A" w:rsidRPr="00EC709C" w:rsidRDefault="00B932A4" w:rsidP="00D6718A">
      <w:pPr>
        <w:pStyle w:val="CommentText"/>
        <w:rPr>
          <w:rFonts w:ascii="Arial" w:hAnsi="Arial" w:cs="Arial"/>
          <w:b/>
        </w:rPr>
      </w:pPr>
      <w:r w:rsidRPr="00EC709C">
        <w:rPr>
          <w:rFonts w:ascii="Arial" w:hAnsi="Arial" w:cs="Arial"/>
          <w:b/>
        </w:rPr>
        <w:t xml:space="preserve">ECTS: </w:t>
      </w:r>
      <w:r w:rsidR="00D6718A" w:rsidRPr="00EC709C">
        <w:rPr>
          <w:rFonts w:ascii="Arial" w:hAnsi="Arial" w:cs="Arial"/>
          <w:b/>
        </w:rPr>
        <w:t xml:space="preserve"> </w:t>
      </w:r>
      <w:r w:rsidR="001C367D" w:rsidRPr="00EC709C">
        <w:rPr>
          <w:rFonts w:ascii="Arial" w:hAnsi="Arial" w:cs="Arial"/>
          <w:b/>
        </w:rPr>
        <w:tab/>
      </w:r>
      <w:r w:rsidR="001C367D" w:rsidRPr="00EC709C">
        <w:rPr>
          <w:rFonts w:ascii="Arial" w:hAnsi="Arial" w:cs="Arial"/>
          <w:b/>
        </w:rPr>
        <w:tab/>
      </w:r>
      <w:r w:rsidR="001C367D" w:rsidRPr="00EC709C">
        <w:rPr>
          <w:rFonts w:ascii="Arial" w:hAnsi="Arial" w:cs="Arial"/>
          <w:b/>
        </w:rPr>
        <w:tab/>
        <w:t xml:space="preserve">5 </w:t>
      </w:r>
      <w:proofErr w:type="spellStart"/>
      <w:r w:rsidR="001C367D" w:rsidRPr="00EC709C">
        <w:rPr>
          <w:rFonts w:ascii="Arial" w:hAnsi="Arial" w:cs="Arial"/>
          <w:b/>
        </w:rPr>
        <w:t>Ects</w:t>
      </w:r>
      <w:proofErr w:type="spellEnd"/>
      <w:r w:rsidR="001C367D" w:rsidRPr="00EC709C">
        <w:rPr>
          <w:rFonts w:ascii="Arial" w:hAnsi="Arial" w:cs="Arial"/>
          <w:b/>
        </w:rPr>
        <w:t xml:space="preserve"> </w:t>
      </w:r>
    </w:p>
    <w:p w14:paraId="79C97FF0" w14:textId="77777777" w:rsidR="00D6718A" w:rsidRDefault="00D6718A" w:rsidP="00D6718A">
      <w:pPr>
        <w:pStyle w:val="Heading1"/>
        <w:rPr>
          <w:rFonts w:ascii="Arial" w:hAnsi="Arial" w:cs="Arial"/>
        </w:rPr>
      </w:pPr>
    </w:p>
    <w:p w14:paraId="65252D73" w14:textId="47666934" w:rsidR="00D6718A" w:rsidRDefault="00D6718A" w:rsidP="00D6718A">
      <w:pPr>
        <w:pStyle w:val="Heading1"/>
        <w:rPr>
          <w:rFonts w:ascii="Arial" w:hAnsi="Arial" w:cs="Arial"/>
        </w:rPr>
      </w:pPr>
      <w:r>
        <w:rPr>
          <w:rFonts w:ascii="Arial" w:hAnsi="Arial" w:cs="Arial"/>
        </w:rPr>
        <w:t>Lecturer:</w:t>
      </w:r>
      <w:r>
        <w:rPr>
          <w:rFonts w:ascii="Arial" w:hAnsi="Arial" w:cs="Arial"/>
        </w:rPr>
        <w:tab/>
      </w:r>
      <w:r w:rsidR="001C367D">
        <w:rPr>
          <w:rFonts w:ascii="Arial" w:hAnsi="Arial" w:cs="Arial"/>
        </w:rPr>
        <w:tab/>
      </w:r>
      <w:r w:rsidR="001C367D">
        <w:rPr>
          <w:rFonts w:ascii="Arial" w:hAnsi="Arial" w:cs="Arial"/>
        </w:rPr>
        <w:tab/>
      </w:r>
      <w:r w:rsidR="00EC709C">
        <w:rPr>
          <w:rFonts w:ascii="Arial" w:hAnsi="Arial" w:cs="Arial"/>
        </w:rPr>
        <w:t xml:space="preserve">Dr. </w:t>
      </w:r>
      <w:r w:rsidR="00C32128" w:rsidRPr="00C32128">
        <w:rPr>
          <w:rFonts w:ascii="Arial" w:hAnsi="Arial" w:cs="Arial"/>
        </w:rPr>
        <w:t>Ranadeva Jayasekera</w:t>
      </w:r>
      <w:r>
        <w:rPr>
          <w:rFonts w:ascii="Arial" w:hAnsi="Arial" w:cs="Arial"/>
        </w:rPr>
        <w:tab/>
      </w:r>
    </w:p>
    <w:p w14:paraId="2F4DBE59" w14:textId="77777777" w:rsidR="00EC709C" w:rsidRDefault="00EC709C" w:rsidP="00D6718A">
      <w:pPr>
        <w:pStyle w:val="Heading2"/>
        <w:jc w:val="left"/>
        <w:rPr>
          <w:rFonts w:ascii="Arial" w:hAnsi="Arial" w:cs="Arial"/>
        </w:rPr>
      </w:pPr>
    </w:p>
    <w:p w14:paraId="5FA166A4" w14:textId="29F2CBE1" w:rsidR="00D6718A" w:rsidRDefault="00CA7A91" w:rsidP="00D6718A">
      <w:pPr>
        <w:pStyle w:val="Heading1"/>
        <w:rPr>
          <w:rFonts w:ascii="Arial" w:hAnsi="Arial" w:cs="Arial"/>
          <w:b w:val="0"/>
        </w:rPr>
      </w:pPr>
      <w:r>
        <w:rPr>
          <w:rFonts w:ascii="Arial" w:hAnsi="Arial" w:cs="Arial"/>
        </w:rPr>
        <w:t>E</w:t>
      </w:r>
      <w:r w:rsidR="00D6718A">
        <w:rPr>
          <w:rFonts w:ascii="Arial" w:hAnsi="Arial" w:cs="Arial"/>
        </w:rPr>
        <w:t>-mail:</w:t>
      </w:r>
      <w:r w:rsidR="00D6718A">
        <w:rPr>
          <w:rFonts w:ascii="Arial" w:hAnsi="Arial" w:cs="Arial"/>
        </w:rPr>
        <w:tab/>
      </w:r>
      <w:r w:rsidR="00B932A4">
        <w:rPr>
          <w:rFonts w:ascii="Arial" w:hAnsi="Arial" w:cs="Arial"/>
        </w:rPr>
        <w:tab/>
      </w:r>
      <w:r w:rsidR="00AE4F93">
        <w:rPr>
          <w:rFonts w:ascii="Arial" w:hAnsi="Arial" w:cs="Arial"/>
        </w:rPr>
        <w:tab/>
      </w:r>
      <w:r w:rsidR="00C32128">
        <w:rPr>
          <w:rFonts w:ascii="Arial" w:hAnsi="Arial" w:cs="Arial"/>
        </w:rPr>
        <w:t>Jayasekr</w:t>
      </w:r>
      <w:r w:rsidR="00AE4F93">
        <w:rPr>
          <w:rFonts w:ascii="Arial" w:hAnsi="Arial" w:cs="Arial"/>
        </w:rPr>
        <w:t>@tcd.ie</w:t>
      </w:r>
    </w:p>
    <w:p w14:paraId="69F79E3C" w14:textId="77777777" w:rsidR="00EC709C" w:rsidRDefault="00EC709C" w:rsidP="00B932A4">
      <w:pPr>
        <w:ind w:left="2127" w:hanging="2127"/>
        <w:rPr>
          <w:rFonts w:ascii="Arial" w:hAnsi="Arial" w:cs="Arial"/>
          <w:b/>
        </w:rPr>
      </w:pPr>
    </w:p>
    <w:p w14:paraId="6903F261" w14:textId="130CB7E6" w:rsidR="00EC709C" w:rsidRDefault="00EC709C" w:rsidP="00B932A4">
      <w:pPr>
        <w:ind w:left="2127" w:hanging="2127"/>
        <w:rPr>
          <w:rFonts w:ascii="Arial" w:hAnsi="Arial" w:cs="Arial"/>
        </w:rPr>
      </w:pPr>
      <w:r>
        <w:rPr>
          <w:rFonts w:ascii="Arial" w:hAnsi="Arial" w:cs="Arial"/>
          <w:b/>
        </w:rPr>
        <w:t>Contact</w:t>
      </w:r>
      <w:r w:rsidR="00D6718A">
        <w:rPr>
          <w:rFonts w:ascii="Arial" w:hAnsi="Arial" w:cs="Arial"/>
          <w:b/>
        </w:rPr>
        <w:t xml:space="preserve"> Hours:</w:t>
      </w:r>
      <w:r w:rsidR="00B932A4" w:rsidRPr="00B932A4">
        <w:rPr>
          <w:rFonts w:ascii="Arial" w:hAnsi="Arial" w:cs="Arial"/>
        </w:rPr>
        <w:t xml:space="preserve"> </w:t>
      </w:r>
      <w:r w:rsidR="00B932A4">
        <w:rPr>
          <w:rFonts w:ascii="Arial" w:hAnsi="Arial" w:cs="Arial"/>
        </w:rPr>
        <w:tab/>
      </w:r>
      <w:r w:rsidR="00B932A4">
        <w:rPr>
          <w:rFonts w:ascii="Arial" w:hAnsi="Arial" w:cs="Arial"/>
        </w:rPr>
        <w:tab/>
      </w:r>
      <w:r w:rsidR="00AE4F93">
        <w:rPr>
          <w:rFonts w:ascii="Arial" w:hAnsi="Arial" w:cs="Arial"/>
        </w:rPr>
        <w:tab/>
        <w:t xml:space="preserve">By appointment (use email to arrange </w:t>
      </w:r>
      <w:r>
        <w:rPr>
          <w:rFonts w:ascii="Arial" w:hAnsi="Arial" w:cs="Arial"/>
        </w:rPr>
        <w:t xml:space="preserve">an online </w:t>
      </w:r>
    </w:p>
    <w:p w14:paraId="3C0A5285" w14:textId="4A9749C8" w:rsidR="00B932A4" w:rsidRPr="005C687D" w:rsidRDefault="00EC709C" w:rsidP="00B932A4">
      <w:pPr>
        <w:ind w:left="2127" w:hanging="2127"/>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rPr>
        <w:t>appointment</w:t>
      </w:r>
      <w:r w:rsidR="00AE4F93">
        <w:rPr>
          <w:rFonts w:ascii="Arial" w:hAnsi="Arial" w:cs="Arial"/>
        </w:rPr>
        <w:t>)</w:t>
      </w:r>
    </w:p>
    <w:p w14:paraId="4DEB8BAD" w14:textId="77777777" w:rsidR="00D6718A" w:rsidRDefault="00D6718A" w:rsidP="00D6718A">
      <w:pPr>
        <w:ind w:left="2127" w:hanging="2127"/>
        <w:rPr>
          <w:rFonts w:ascii="Arial" w:hAnsi="Arial" w:cs="Arial"/>
          <w:b/>
        </w:rPr>
      </w:pPr>
      <w:r>
        <w:rPr>
          <w:rFonts w:ascii="Arial" w:hAnsi="Arial" w:cs="Arial"/>
          <w:b/>
        </w:rPr>
        <w:tab/>
      </w: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77777777" w:rsidR="00D6718A" w:rsidRDefault="00D6718A" w:rsidP="00D6718A">
      <w:pPr>
        <w:jc w:val="both"/>
        <w:rPr>
          <w:rFonts w:ascii="Arial" w:hAnsi="Arial" w:cs="Arial"/>
          <w:b/>
        </w:rPr>
      </w:pPr>
    </w:p>
    <w:p w14:paraId="6AB328E5" w14:textId="68A78024" w:rsidR="00AE4F93" w:rsidRPr="004706CC" w:rsidRDefault="00AE4F93" w:rsidP="00AE4F93">
      <w:pPr>
        <w:jc w:val="both"/>
        <w:rPr>
          <w:rFonts w:ascii="Arial" w:hAnsi="Arial" w:cs="Arial"/>
        </w:rPr>
      </w:pPr>
      <w:r>
        <w:rPr>
          <w:rFonts w:ascii="Arial" w:hAnsi="Arial" w:cs="Arial"/>
          <w:lang w:val="en-AU"/>
        </w:rPr>
        <w:t>The</w:t>
      </w:r>
      <w:r>
        <w:rPr>
          <w:rFonts w:ascii="Arial" w:hAnsi="Arial" w:cs="Arial"/>
        </w:rPr>
        <w:t xml:space="preserve"> </w:t>
      </w:r>
      <w:r>
        <w:rPr>
          <w:rFonts w:ascii="Arial" w:hAnsi="Arial" w:cs="Arial"/>
          <w:lang w:val="en-AU"/>
        </w:rPr>
        <w:t>module</w:t>
      </w:r>
      <w:r>
        <w:rPr>
          <w:rFonts w:ascii="Arial" w:hAnsi="Arial" w:cs="Arial"/>
        </w:rPr>
        <w:t xml:space="preserve"> </w:t>
      </w:r>
      <w:r>
        <w:rPr>
          <w:rFonts w:ascii="Arial" w:hAnsi="Arial" w:cs="Arial"/>
          <w:lang w:val="en-AU"/>
        </w:rPr>
        <w:t>builds</w:t>
      </w:r>
      <w:r>
        <w:rPr>
          <w:rFonts w:ascii="Arial" w:hAnsi="Arial" w:cs="Arial"/>
        </w:rPr>
        <w:t xml:space="preserve"> </w:t>
      </w:r>
      <w:r>
        <w:rPr>
          <w:rFonts w:ascii="Arial" w:hAnsi="Arial" w:cs="Arial"/>
          <w:lang w:val="en-AU"/>
        </w:rPr>
        <w:t>on</w:t>
      </w:r>
      <w:r>
        <w:rPr>
          <w:rFonts w:ascii="Arial" w:hAnsi="Arial" w:cs="Arial"/>
        </w:rPr>
        <w:t xml:space="preserve"> </w:t>
      </w:r>
      <w:r>
        <w:rPr>
          <w:rFonts w:ascii="Arial" w:hAnsi="Arial" w:cs="Arial"/>
          <w:lang w:val="en-AU"/>
        </w:rPr>
        <w:t>previous</w:t>
      </w:r>
      <w:r>
        <w:rPr>
          <w:rFonts w:ascii="Arial" w:hAnsi="Arial" w:cs="Arial"/>
        </w:rPr>
        <w:t xml:space="preserve"> </w:t>
      </w:r>
      <w:r>
        <w:rPr>
          <w:rFonts w:ascii="Arial" w:hAnsi="Arial" w:cs="Arial"/>
          <w:lang w:val="en-AU"/>
        </w:rPr>
        <w:t>experience</w:t>
      </w:r>
      <w:r>
        <w:rPr>
          <w:rFonts w:ascii="Arial" w:hAnsi="Arial" w:cs="Arial"/>
        </w:rPr>
        <w:t xml:space="preserve"> </w:t>
      </w:r>
      <w:r>
        <w:rPr>
          <w:rFonts w:ascii="Arial" w:hAnsi="Arial" w:cs="Arial"/>
          <w:lang w:val="en-AU"/>
        </w:rPr>
        <w:t>in</w:t>
      </w:r>
      <w:r>
        <w:rPr>
          <w:rFonts w:ascii="Arial" w:hAnsi="Arial" w:cs="Arial"/>
        </w:rPr>
        <w:t xml:space="preserve"> </w:t>
      </w:r>
      <w:r>
        <w:rPr>
          <w:rFonts w:ascii="Arial" w:hAnsi="Arial" w:cs="Arial"/>
          <w:lang w:val="en-AU"/>
        </w:rPr>
        <w:t>management</w:t>
      </w:r>
      <w:r>
        <w:rPr>
          <w:rFonts w:ascii="Arial" w:hAnsi="Arial" w:cs="Arial"/>
        </w:rPr>
        <w:t xml:space="preserve"> </w:t>
      </w:r>
      <w:r>
        <w:rPr>
          <w:rFonts w:ascii="Arial" w:hAnsi="Arial" w:cs="Arial"/>
          <w:lang w:val="en-AU"/>
        </w:rPr>
        <w:t>accounting</w:t>
      </w:r>
      <w:r>
        <w:rPr>
          <w:rFonts w:ascii="Arial" w:hAnsi="Arial" w:cs="Arial"/>
        </w:rPr>
        <w:t xml:space="preserve">, </w:t>
      </w:r>
      <w:r>
        <w:rPr>
          <w:rFonts w:ascii="Arial" w:hAnsi="Arial" w:cs="Arial"/>
          <w:lang w:val="en-AU"/>
        </w:rPr>
        <w:t>measuring</w:t>
      </w:r>
      <w:r>
        <w:rPr>
          <w:rFonts w:ascii="Arial" w:hAnsi="Arial" w:cs="Arial"/>
        </w:rPr>
        <w:t xml:space="preserve"> </w:t>
      </w:r>
      <w:r>
        <w:rPr>
          <w:rFonts w:ascii="Arial" w:hAnsi="Arial" w:cs="Arial"/>
          <w:lang w:val="en-AU"/>
        </w:rPr>
        <w:t>costs and revenues</w:t>
      </w:r>
      <w:r>
        <w:rPr>
          <w:rFonts w:ascii="Arial" w:hAnsi="Arial" w:cs="Arial"/>
        </w:rPr>
        <w:t xml:space="preserve"> </w:t>
      </w:r>
      <w:r>
        <w:rPr>
          <w:rFonts w:ascii="Arial" w:hAnsi="Arial" w:cs="Arial"/>
          <w:lang w:val="en-AU"/>
        </w:rPr>
        <w:t xml:space="preserve">for the </w:t>
      </w:r>
      <w:proofErr w:type="gramStart"/>
      <w:r>
        <w:rPr>
          <w:rFonts w:ascii="Arial" w:hAnsi="Arial" w:cs="Arial"/>
          <w:lang w:val="en-AU"/>
        </w:rPr>
        <w:t>decision making</w:t>
      </w:r>
      <w:proofErr w:type="gramEnd"/>
      <w:r>
        <w:rPr>
          <w:rFonts w:ascii="Arial" w:hAnsi="Arial" w:cs="Arial"/>
          <w:lang w:val="en-AU"/>
        </w:rPr>
        <w:t xml:space="preserve"> process. The</w:t>
      </w:r>
      <w:r>
        <w:rPr>
          <w:rFonts w:ascii="Arial" w:hAnsi="Arial" w:cs="Arial"/>
        </w:rPr>
        <w:t xml:space="preserve"> </w:t>
      </w:r>
      <w:r>
        <w:rPr>
          <w:rFonts w:ascii="Arial" w:hAnsi="Arial" w:cs="Arial"/>
          <w:lang w:val="en-AU"/>
        </w:rPr>
        <w:t>module</w:t>
      </w:r>
      <w:r>
        <w:rPr>
          <w:rFonts w:ascii="Arial" w:hAnsi="Arial" w:cs="Arial"/>
        </w:rPr>
        <w:t xml:space="preserve"> </w:t>
      </w:r>
      <w:r>
        <w:rPr>
          <w:rFonts w:ascii="Arial" w:hAnsi="Arial" w:cs="Arial"/>
          <w:lang w:val="en-AU"/>
        </w:rPr>
        <w:t>aims</w:t>
      </w:r>
      <w:r>
        <w:rPr>
          <w:rFonts w:ascii="Arial" w:hAnsi="Arial" w:cs="Arial"/>
        </w:rPr>
        <w:t xml:space="preserve"> </w:t>
      </w:r>
      <w:r>
        <w:rPr>
          <w:rFonts w:ascii="Arial" w:hAnsi="Arial" w:cs="Arial"/>
          <w:lang w:val="en-AU"/>
        </w:rPr>
        <w:t>to</w:t>
      </w:r>
      <w:r>
        <w:rPr>
          <w:rFonts w:ascii="Arial" w:hAnsi="Arial" w:cs="Arial"/>
        </w:rPr>
        <w:t xml:space="preserve"> </w:t>
      </w:r>
      <w:r>
        <w:rPr>
          <w:rFonts w:ascii="Arial" w:hAnsi="Arial" w:cs="Arial"/>
          <w:lang w:val="en-AU"/>
        </w:rPr>
        <w:t>examine</w:t>
      </w:r>
      <w:r>
        <w:rPr>
          <w:rFonts w:ascii="Arial" w:hAnsi="Arial" w:cs="Arial"/>
        </w:rPr>
        <w:t xml:space="preserve"> </w:t>
      </w:r>
      <w:r>
        <w:rPr>
          <w:rFonts w:ascii="Arial" w:hAnsi="Arial" w:cs="Arial"/>
          <w:lang w:val="en-AU"/>
        </w:rPr>
        <w:t>and</w:t>
      </w:r>
      <w:r>
        <w:rPr>
          <w:rFonts w:ascii="Arial" w:hAnsi="Arial" w:cs="Arial"/>
        </w:rPr>
        <w:t xml:space="preserve"> </w:t>
      </w:r>
      <w:r>
        <w:rPr>
          <w:rFonts w:ascii="Arial" w:hAnsi="Arial" w:cs="Arial"/>
          <w:lang w:val="en-AU"/>
        </w:rPr>
        <w:t>understand</w:t>
      </w:r>
      <w:r>
        <w:rPr>
          <w:rFonts w:ascii="Arial" w:hAnsi="Arial" w:cs="Arial"/>
        </w:rPr>
        <w:t xml:space="preserve"> </w:t>
      </w:r>
      <w:r>
        <w:rPr>
          <w:rFonts w:ascii="Arial" w:hAnsi="Arial" w:cs="Arial"/>
          <w:lang w:val="en-AU"/>
        </w:rPr>
        <w:t>the</w:t>
      </w:r>
      <w:r>
        <w:rPr>
          <w:rFonts w:ascii="Arial" w:hAnsi="Arial" w:cs="Arial"/>
        </w:rPr>
        <w:t xml:space="preserve"> </w:t>
      </w:r>
      <w:r>
        <w:rPr>
          <w:rFonts w:ascii="Arial" w:hAnsi="Arial" w:cs="Arial"/>
          <w:lang w:val="en-AU"/>
        </w:rPr>
        <w:t>role</w:t>
      </w:r>
      <w:r>
        <w:rPr>
          <w:rFonts w:ascii="Arial" w:hAnsi="Arial" w:cs="Arial"/>
        </w:rPr>
        <w:t xml:space="preserve"> </w:t>
      </w:r>
      <w:r>
        <w:rPr>
          <w:rFonts w:ascii="Arial" w:hAnsi="Arial" w:cs="Arial"/>
          <w:lang w:val="en-AU"/>
        </w:rPr>
        <w:t>of</w:t>
      </w:r>
      <w:r>
        <w:rPr>
          <w:rFonts w:ascii="Arial" w:hAnsi="Arial" w:cs="Arial"/>
        </w:rPr>
        <w:t xml:space="preserve"> budgeting; transfer pricing; variance analysis; divisional performance and strategic financial planning </w:t>
      </w:r>
      <w:r>
        <w:rPr>
          <w:rFonts w:ascii="Arial" w:hAnsi="Arial" w:cs="Arial"/>
          <w:lang w:val="en-AU"/>
        </w:rPr>
        <w:t>as</w:t>
      </w:r>
      <w:r>
        <w:rPr>
          <w:rFonts w:ascii="Arial" w:hAnsi="Arial" w:cs="Arial"/>
        </w:rPr>
        <w:t xml:space="preserve"> critical financial </w:t>
      </w:r>
      <w:r>
        <w:rPr>
          <w:rFonts w:ascii="Arial" w:hAnsi="Arial" w:cs="Arial"/>
          <w:lang w:val="en-AU"/>
        </w:rPr>
        <w:t>management</w:t>
      </w:r>
      <w:r>
        <w:rPr>
          <w:rFonts w:ascii="Arial" w:hAnsi="Arial" w:cs="Arial"/>
        </w:rPr>
        <w:t xml:space="preserve"> </w:t>
      </w:r>
      <w:r>
        <w:rPr>
          <w:rFonts w:ascii="Arial" w:hAnsi="Arial" w:cs="Arial"/>
          <w:lang w:val="en-AU"/>
        </w:rPr>
        <w:t>tools. There is also a focus on the importance of non-financial performance measures.</w:t>
      </w:r>
    </w:p>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5B3FD1C3" w14:textId="30BB0C73" w:rsidR="00AE4F93" w:rsidRPr="00A10CD9" w:rsidRDefault="00AE4F93" w:rsidP="00AE4F93">
      <w:pPr>
        <w:autoSpaceDE w:val="0"/>
        <w:autoSpaceDN w:val="0"/>
        <w:adjustRightInd w:val="0"/>
        <w:spacing w:after="37"/>
        <w:jc w:val="both"/>
        <w:rPr>
          <w:rFonts w:ascii="Arial" w:hAnsi="Arial" w:cs="Arial"/>
          <w:lang w:val="en-AU"/>
        </w:rPr>
      </w:pPr>
      <w:r w:rsidRPr="00A10CD9">
        <w:rPr>
          <w:rFonts w:ascii="Arial" w:hAnsi="Arial" w:cs="Arial"/>
          <w:lang w:val="en-AU"/>
        </w:rPr>
        <w:t>Lectures will involve a mixture of lectures, group discussion, worked-through examples and quest</w:t>
      </w:r>
      <w:r>
        <w:rPr>
          <w:rFonts w:ascii="Arial" w:hAnsi="Arial" w:cs="Arial"/>
          <w:lang w:val="en-AU"/>
        </w:rPr>
        <w:t xml:space="preserve">ions. We will review scenarios and </w:t>
      </w:r>
      <w:r w:rsidRPr="00A10CD9">
        <w:rPr>
          <w:rFonts w:ascii="Arial" w:hAnsi="Arial" w:cs="Arial"/>
          <w:lang w:val="en-AU"/>
        </w:rPr>
        <w:t>compare theory to real life examples</w:t>
      </w:r>
      <w:r>
        <w:rPr>
          <w:rFonts w:ascii="Arial" w:hAnsi="Arial" w:cs="Arial"/>
          <w:lang w:val="en-AU"/>
        </w:rPr>
        <w:t xml:space="preserve">. </w:t>
      </w:r>
      <w:r w:rsidRPr="00A10CD9">
        <w:rPr>
          <w:rFonts w:ascii="Arial" w:hAnsi="Arial" w:cs="Arial"/>
          <w:lang w:val="en-AU"/>
        </w:rPr>
        <w:t>Active participation will b</w:t>
      </w:r>
      <w:r>
        <w:rPr>
          <w:rFonts w:ascii="Arial" w:hAnsi="Arial" w:cs="Arial"/>
          <w:lang w:val="en-AU"/>
        </w:rPr>
        <w:t>e required, i.e. preparation in</w:t>
      </w:r>
      <w:r w:rsidRPr="00A10CD9">
        <w:rPr>
          <w:rFonts w:ascii="Arial" w:hAnsi="Arial" w:cs="Arial"/>
          <w:lang w:val="en-AU"/>
        </w:rPr>
        <w:t xml:space="preserve"> and attendance at lectures, contribution to class discussions and involvement in group work. Practice problems have been assigned for each topic in the syllabus, and students are recommended to do these before each lecture. </w:t>
      </w:r>
      <w:r>
        <w:rPr>
          <w:rFonts w:ascii="Arial" w:hAnsi="Arial" w:cs="Arial"/>
          <w:lang w:val="en-AU"/>
        </w:rPr>
        <w:t>This</w:t>
      </w:r>
      <w:r w:rsidRPr="00A10CD9">
        <w:rPr>
          <w:rFonts w:ascii="Arial" w:hAnsi="Arial" w:cs="Arial"/>
          <w:lang w:val="en-AU"/>
        </w:rPr>
        <w:t xml:space="preserve"> module is an applied field, it is difficult to understand without practicing and applying the knowledge, and therefore examinations will be based on </w:t>
      </w:r>
      <w:r w:rsidRPr="007001CD">
        <w:rPr>
          <w:rFonts w:ascii="Arial" w:hAnsi="Arial" w:cs="Arial"/>
          <w:u w:val="single"/>
          <w:lang w:val="en-AU"/>
        </w:rPr>
        <w:t>applied</w:t>
      </w:r>
      <w:r w:rsidRPr="00A10CD9">
        <w:rPr>
          <w:rFonts w:ascii="Arial" w:hAnsi="Arial" w:cs="Arial"/>
          <w:lang w:val="en-AU"/>
        </w:rPr>
        <w:t xml:space="preserve"> </w:t>
      </w:r>
      <w:r w:rsidRPr="00A10CD9">
        <w:rPr>
          <w:rFonts w:ascii="Arial" w:hAnsi="Arial" w:cs="Arial"/>
          <w:lang w:val="en-AU"/>
        </w:rPr>
        <w:lastRenderedPageBreak/>
        <w:t xml:space="preserve">knowledge, not general recall. Students will be encouraged </w:t>
      </w:r>
      <w:r>
        <w:rPr>
          <w:rFonts w:ascii="Arial" w:hAnsi="Arial" w:cs="Arial"/>
          <w:lang w:val="en-AU"/>
        </w:rPr>
        <w:t xml:space="preserve">to </w:t>
      </w:r>
      <w:r w:rsidRPr="00A10CD9">
        <w:rPr>
          <w:rFonts w:ascii="Arial" w:hAnsi="Arial" w:cs="Arial"/>
          <w:lang w:val="en-AU"/>
        </w:rPr>
        <w:t>explore and develop their business and personal potential</w:t>
      </w:r>
      <w:r>
        <w:rPr>
          <w:rFonts w:ascii="Arial" w:hAnsi="Arial" w:cs="Arial"/>
          <w:lang w:val="en-AU"/>
        </w:rPr>
        <w:t xml:space="preserve"> throughout this module.</w:t>
      </w:r>
    </w:p>
    <w:p w14:paraId="7001FB8A" w14:textId="77777777" w:rsidR="001F198D" w:rsidRDefault="001F198D" w:rsidP="001F198D">
      <w:pPr>
        <w:jc w:val="both"/>
        <w:rPr>
          <w:rFonts w:ascii="Arial" w:hAnsi="Arial" w:cs="Arial"/>
        </w:rPr>
      </w:pPr>
    </w:p>
    <w:p w14:paraId="5346E736" w14:textId="5ABD6CE6" w:rsidR="00D6718A" w:rsidRDefault="00D6718A" w:rsidP="00D6718A">
      <w:pPr>
        <w:jc w:val="both"/>
        <w:rPr>
          <w:rFonts w:ascii="Arial" w:hAnsi="Arial" w:cs="Arial"/>
        </w:rPr>
      </w:pPr>
    </w:p>
    <w:p w14:paraId="6220E67F" w14:textId="16CAEE56" w:rsidR="00D6718A" w:rsidRPr="00073312" w:rsidRDefault="00073312" w:rsidP="00D6718A">
      <w:pPr>
        <w:pStyle w:val="Heading1"/>
        <w:rPr>
          <w:rFonts w:ascii="Arial" w:hAnsi="Arial" w:cs="Arial"/>
          <w:b w:val="0"/>
          <w:bCs w:val="0"/>
          <w:i/>
          <w:iCs/>
        </w:rPr>
      </w:pPr>
      <w:r w:rsidRPr="00AE4F93">
        <w:rPr>
          <w:rFonts w:ascii="Arial" w:hAnsi="Arial" w:cs="Arial"/>
        </w:rPr>
        <w:t xml:space="preserve">MODULE-LEVEL </w:t>
      </w:r>
      <w:r w:rsidR="00D6718A" w:rsidRPr="00AE4F93">
        <w:rPr>
          <w:rFonts w:ascii="Arial" w:hAnsi="Arial" w:cs="Arial"/>
        </w:rPr>
        <w:t>LEARNING OUTCOMES</w:t>
      </w:r>
      <w:r>
        <w:rPr>
          <w:rFonts w:ascii="Arial" w:hAnsi="Arial" w:cs="Arial"/>
        </w:rPr>
        <w:t xml:space="preserve"> </w:t>
      </w:r>
    </w:p>
    <w:p w14:paraId="26CDA804" w14:textId="77777777" w:rsidR="00AE4F93" w:rsidRPr="003526C6" w:rsidRDefault="00AE4F93" w:rsidP="00AE4F93">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Cs w:val="22"/>
        </w:rPr>
      </w:pPr>
      <w:r w:rsidRPr="003526C6">
        <w:rPr>
          <w:rFonts w:ascii="Arial" w:hAnsi="Arial" w:cs="Arial"/>
          <w:bCs/>
          <w:szCs w:val="22"/>
        </w:rPr>
        <w:t xml:space="preserve">Having successfully completed this module, the student should be able to: </w:t>
      </w:r>
    </w:p>
    <w:p w14:paraId="3AB37167" w14:textId="51C011D4" w:rsidR="00AE4F93" w:rsidRDefault="00AE4F93" w:rsidP="009C2FC2">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sidRPr="003526C6">
        <w:rPr>
          <w:rFonts w:ascii="Arial" w:hAnsi="Arial" w:cs="Arial"/>
          <w:bCs/>
          <w:szCs w:val="22"/>
        </w:rPr>
        <w:t>Possess an up-to-date understanding of the various budgeting techniques available to an organisation.</w:t>
      </w:r>
    </w:p>
    <w:p w14:paraId="5078C1AA" w14:textId="2A86492C" w:rsidR="00C34D4E" w:rsidRPr="00C34D4E" w:rsidRDefault="00C34D4E" w:rsidP="00C34D4E">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rPr>
      </w:pPr>
      <w:r w:rsidRPr="00C34D4E">
        <w:rPr>
          <w:rFonts w:ascii="Arial" w:hAnsi="Arial" w:cs="Arial"/>
          <w:bCs/>
          <w:szCs w:val="22"/>
        </w:rPr>
        <w:t>Acquire an understanding of management control issues.</w:t>
      </w:r>
    </w:p>
    <w:p w14:paraId="11124EFE" w14:textId="4BC01200" w:rsidR="00AE4F93" w:rsidRDefault="00AE4F93" w:rsidP="009C2FC2">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sidRPr="003526C6">
        <w:rPr>
          <w:rFonts w:ascii="Arial" w:hAnsi="Arial" w:cs="Arial"/>
          <w:bCs/>
          <w:szCs w:val="22"/>
        </w:rPr>
        <w:t>Calculate, analyse and apply variances as an aid to decision-making, and explain the importance of qualitative factors in this area.</w:t>
      </w:r>
    </w:p>
    <w:p w14:paraId="4B32BDDD" w14:textId="0529E92C" w:rsidR="003B41AC" w:rsidRDefault="003B41AC" w:rsidP="003B41AC">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Pr>
          <w:rFonts w:ascii="Arial" w:hAnsi="Arial" w:cs="Arial"/>
          <w:bCs/>
          <w:szCs w:val="22"/>
        </w:rPr>
        <w:t>Gain</w:t>
      </w:r>
      <w:r w:rsidRPr="003526C6">
        <w:rPr>
          <w:rFonts w:ascii="Arial" w:hAnsi="Arial" w:cs="Arial"/>
          <w:bCs/>
          <w:szCs w:val="22"/>
        </w:rPr>
        <w:t xml:space="preserve"> a</w:t>
      </w:r>
      <w:r>
        <w:rPr>
          <w:rFonts w:ascii="Arial" w:hAnsi="Arial" w:cs="Arial"/>
          <w:bCs/>
          <w:szCs w:val="22"/>
        </w:rPr>
        <w:t xml:space="preserve"> sound</w:t>
      </w:r>
      <w:r w:rsidRPr="003526C6">
        <w:rPr>
          <w:rFonts w:ascii="Arial" w:hAnsi="Arial" w:cs="Arial"/>
          <w:bCs/>
          <w:szCs w:val="22"/>
        </w:rPr>
        <w:t xml:space="preserve"> </w:t>
      </w:r>
      <w:r>
        <w:rPr>
          <w:rFonts w:ascii="Arial" w:hAnsi="Arial" w:cs="Arial"/>
          <w:bCs/>
          <w:szCs w:val="22"/>
        </w:rPr>
        <w:t>knowledge</w:t>
      </w:r>
      <w:r w:rsidRPr="003526C6">
        <w:rPr>
          <w:rFonts w:ascii="Arial" w:hAnsi="Arial" w:cs="Arial"/>
          <w:bCs/>
          <w:szCs w:val="22"/>
        </w:rPr>
        <w:t xml:space="preserve"> of the</w:t>
      </w:r>
      <w:r>
        <w:rPr>
          <w:rFonts w:ascii="Arial" w:hAnsi="Arial" w:cs="Arial"/>
          <w:bCs/>
          <w:szCs w:val="22"/>
        </w:rPr>
        <w:t xml:space="preserve"> concept of </w:t>
      </w:r>
      <w:proofErr w:type="spellStart"/>
      <w:r>
        <w:rPr>
          <w:rFonts w:ascii="Arial" w:hAnsi="Arial" w:cs="Arial"/>
          <w:bCs/>
          <w:szCs w:val="22"/>
        </w:rPr>
        <w:t>divisionalisation</w:t>
      </w:r>
      <w:proofErr w:type="spellEnd"/>
      <w:r>
        <w:rPr>
          <w:rFonts w:ascii="Arial" w:hAnsi="Arial" w:cs="Arial"/>
          <w:bCs/>
          <w:szCs w:val="22"/>
        </w:rPr>
        <w:t xml:space="preserve">, </w:t>
      </w:r>
      <w:r w:rsidRPr="003526C6">
        <w:rPr>
          <w:rFonts w:ascii="Arial" w:hAnsi="Arial" w:cs="Arial"/>
          <w:bCs/>
          <w:szCs w:val="22"/>
        </w:rPr>
        <w:t xml:space="preserve">various </w:t>
      </w:r>
      <w:r>
        <w:rPr>
          <w:rFonts w:ascii="Arial" w:hAnsi="Arial" w:cs="Arial"/>
          <w:bCs/>
          <w:szCs w:val="22"/>
        </w:rPr>
        <w:t>divisional performance measures available to an organisation, whilst addressing the problem of short-termism</w:t>
      </w:r>
    </w:p>
    <w:p w14:paraId="4ACF6BE5" w14:textId="77777777" w:rsidR="003B41AC" w:rsidRDefault="003B41AC" w:rsidP="003B41AC">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sidRPr="003526C6">
        <w:rPr>
          <w:rFonts w:ascii="Arial" w:hAnsi="Arial" w:cs="Arial"/>
          <w:bCs/>
          <w:szCs w:val="22"/>
        </w:rPr>
        <w:t>Advise senior management on optimal transfer pricing strategies.</w:t>
      </w:r>
    </w:p>
    <w:p w14:paraId="1509C100" w14:textId="77777777" w:rsidR="003B41AC" w:rsidRPr="00E95785" w:rsidRDefault="003B41AC" w:rsidP="003B41AC">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GB"/>
        </w:rPr>
      </w:pPr>
      <w:r w:rsidRPr="00E95785">
        <w:rPr>
          <w:rFonts w:ascii="Arial" w:hAnsi="Arial" w:cs="Arial"/>
          <w:bCs/>
          <w:szCs w:val="22"/>
        </w:rPr>
        <w:t xml:space="preserve">Distinguish between a traditional management accounting system and strategic cost management and </w:t>
      </w:r>
      <w:r>
        <w:rPr>
          <w:rFonts w:ascii="Arial" w:hAnsi="Arial" w:cs="Arial"/>
          <w:bCs/>
          <w:szCs w:val="22"/>
        </w:rPr>
        <w:t>u</w:t>
      </w:r>
      <w:proofErr w:type="spellStart"/>
      <w:r w:rsidRPr="00E95785">
        <w:rPr>
          <w:rFonts w:ascii="Arial" w:hAnsi="Arial" w:cs="Arial"/>
          <w:lang w:val="en-GB"/>
        </w:rPr>
        <w:t>nderstand</w:t>
      </w:r>
      <w:proofErr w:type="spellEnd"/>
      <w:r w:rsidRPr="00E95785">
        <w:rPr>
          <w:rFonts w:ascii="Arial" w:hAnsi="Arial" w:cs="Arial"/>
          <w:lang w:val="en-GB"/>
        </w:rPr>
        <w:t xml:space="preserve"> and apply Life-cycle costing, Environmental accounting in a variety of practical business contexts</w:t>
      </w:r>
    </w:p>
    <w:p w14:paraId="6F681738" w14:textId="316E1A7E" w:rsidR="00AE4F93" w:rsidRDefault="00AE4F93" w:rsidP="009C2FC2">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sidRPr="003526C6">
        <w:rPr>
          <w:rFonts w:ascii="Arial" w:hAnsi="Arial" w:cs="Arial"/>
          <w:bCs/>
          <w:szCs w:val="22"/>
        </w:rPr>
        <w:t xml:space="preserve">Measure and optimise organisational performance </w:t>
      </w:r>
      <w:proofErr w:type="gramStart"/>
      <w:r w:rsidRPr="003526C6">
        <w:rPr>
          <w:rFonts w:ascii="Arial" w:hAnsi="Arial" w:cs="Arial"/>
          <w:bCs/>
          <w:szCs w:val="22"/>
        </w:rPr>
        <w:t>through the use of</w:t>
      </w:r>
      <w:proofErr w:type="gramEnd"/>
      <w:r w:rsidRPr="003526C6">
        <w:rPr>
          <w:rFonts w:ascii="Arial" w:hAnsi="Arial" w:cs="Arial"/>
          <w:bCs/>
          <w:szCs w:val="22"/>
        </w:rPr>
        <w:t xml:space="preserve"> appropriate strategic performance measurement techniques.</w:t>
      </w:r>
    </w:p>
    <w:p w14:paraId="2A1A5152" w14:textId="77777777" w:rsidR="003B41AC" w:rsidRDefault="003B41AC" w:rsidP="003B41AC">
      <w:pPr>
        <w:pStyle w:val="ListParagraph"/>
        <w:numPr>
          <w:ilvl w:val="0"/>
          <w:numId w:val="26"/>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2"/>
        </w:rPr>
      </w:pPr>
      <w:r w:rsidRPr="00E95785">
        <w:rPr>
          <w:rFonts w:ascii="Arial" w:hAnsi="Arial" w:cs="Arial"/>
          <w:bCs/>
          <w:szCs w:val="22"/>
        </w:rPr>
        <w:t>Distinguish between a</w:t>
      </w:r>
      <w:r>
        <w:rPr>
          <w:rFonts w:ascii="Arial" w:hAnsi="Arial" w:cs="Arial"/>
          <w:bCs/>
          <w:szCs w:val="22"/>
        </w:rPr>
        <w:t>nd critically evaluate</w:t>
      </w:r>
      <w:r w:rsidRPr="00E95785">
        <w:rPr>
          <w:rFonts w:ascii="Arial" w:hAnsi="Arial" w:cs="Arial"/>
          <w:bCs/>
          <w:szCs w:val="22"/>
        </w:rPr>
        <w:t xml:space="preserve"> traditional </w:t>
      </w:r>
      <w:r>
        <w:rPr>
          <w:rFonts w:ascii="Arial" w:hAnsi="Arial" w:cs="Arial"/>
          <w:bCs/>
          <w:szCs w:val="22"/>
        </w:rPr>
        <w:t>performance measurement</w:t>
      </w:r>
      <w:r w:rsidRPr="00E95785">
        <w:rPr>
          <w:rFonts w:ascii="Arial" w:hAnsi="Arial" w:cs="Arial"/>
          <w:bCs/>
          <w:szCs w:val="22"/>
        </w:rPr>
        <w:t xml:space="preserve"> system</w:t>
      </w:r>
      <w:r>
        <w:rPr>
          <w:rFonts w:ascii="Arial" w:hAnsi="Arial" w:cs="Arial"/>
          <w:bCs/>
          <w:szCs w:val="22"/>
        </w:rPr>
        <w:t>s</w:t>
      </w:r>
      <w:r w:rsidRPr="00E95785">
        <w:rPr>
          <w:rFonts w:ascii="Arial" w:hAnsi="Arial" w:cs="Arial"/>
          <w:bCs/>
          <w:szCs w:val="22"/>
        </w:rPr>
        <w:t xml:space="preserve"> and</w:t>
      </w:r>
      <w:r>
        <w:rPr>
          <w:rFonts w:ascii="Arial" w:hAnsi="Arial" w:cs="Arial"/>
          <w:bCs/>
          <w:szCs w:val="22"/>
        </w:rPr>
        <w:t xml:space="preserve"> </w:t>
      </w:r>
      <w:r w:rsidRPr="00E95785">
        <w:rPr>
          <w:rFonts w:ascii="Arial" w:hAnsi="Arial" w:cs="Arial"/>
          <w:bCs/>
          <w:szCs w:val="22"/>
        </w:rPr>
        <w:t xml:space="preserve">strategic </w:t>
      </w:r>
      <w:r>
        <w:rPr>
          <w:rFonts w:ascii="Arial" w:hAnsi="Arial" w:cs="Arial"/>
          <w:bCs/>
          <w:szCs w:val="22"/>
        </w:rPr>
        <w:t>performance</w:t>
      </w:r>
      <w:r w:rsidRPr="00E95785">
        <w:rPr>
          <w:rFonts w:ascii="Arial" w:hAnsi="Arial" w:cs="Arial"/>
          <w:bCs/>
          <w:szCs w:val="22"/>
        </w:rPr>
        <w:t xml:space="preserve"> </w:t>
      </w:r>
      <w:r>
        <w:rPr>
          <w:rFonts w:ascii="Arial" w:hAnsi="Arial" w:cs="Arial"/>
          <w:bCs/>
          <w:szCs w:val="22"/>
        </w:rPr>
        <w:t>measurement systems.</w:t>
      </w:r>
    </w:p>
    <w:p w14:paraId="03597474" w14:textId="77777777" w:rsidR="00C34D4E" w:rsidRPr="003526C6" w:rsidRDefault="00C34D4E" w:rsidP="00C34D4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w:hAnsi="Arial" w:cs="Arial"/>
          <w:bCs/>
          <w:szCs w:val="22"/>
        </w:rPr>
      </w:pP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5C6798AF" w14:textId="39523448" w:rsidR="00AE4F93" w:rsidRPr="003526C6" w:rsidRDefault="00AE4F93" w:rsidP="00AE4F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3526C6">
        <w:rPr>
          <w:rFonts w:ascii="Arial" w:hAnsi="Arial" w:cs="Arial"/>
        </w:rPr>
        <w:t xml:space="preserve">This module supports </w:t>
      </w:r>
      <w:proofErr w:type="gramStart"/>
      <w:r w:rsidRPr="003526C6">
        <w:rPr>
          <w:rFonts w:ascii="Arial" w:hAnsi="Arial" w:cs="Arial"/>
        </w:rPr>
        <w:t>a number of</w:t>
      </w:r>
      <w:proofErr w:type="gramEnd"/>
      <w:r w:rsidRPr="003526C6">
        <w:rPr>
          <w:rFonts w:ascii="Arial" w:hAnsi="Arial" w:cs="Arial"/>
        </w:rPr>
        <w:t xml:space="preserve"> the learning outcomes of the overall </w:t>
      </w:r>
      <w:r>
        <w:rPr>
          <w:rFonts w:ascii="Arial" w:hAnsi="Arial" w:cs="Arial"/>
        </w:rPr>
        <w:t>degree</w:t>
      </w:r>
      <w:r w:rsidRPr="003526C6">
        <w:rPr>
          <w:rFonts w:ascii="Arial" w:hAnsi="Arial" w:cs="Arial"/>
        </w:rPr>
        <w:t xml:space="preserve"> Programme. Specifically, it enables students to: </w:t>
      </w:r>
    </w:p>
    <w:p w14:paraId="0D5966B1" w14:textId="77777777" w:rsidR="00AE4F93" w:rsidRPr="003526C6" w:rsidRDefault="00AE4F93" w:rsidP="00AE4F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9C5441B" w14:textId="77777777" w:rsidR="00AE4F93" w:rsidRPr="003526C6" w:rsidRDefault="00AE4F93" w:rsidP="00AE4F93">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w:hAnsi="Arial" w:cs="Arial"/>
        </w:rPr>
      </w:pPr>
      <w:r w:rsidRPr="003526C6">
        <w:rPr>
          <w:rFonts w:ascii="Arial" w:hAnsi="Arial" w:cs="Arial"/>
        </w:rPr>
        <w:t>Possess a systematic understanding of financial information informed by best practise and contemporary developments.</w:t>
      </w:r>
    </w:p>
    <w:p w14:paraId="5FD2954D" w14:textId="77777777" w:rsidR="00AE4F93" w:rsidRPr="003526C6" w:rsidRDefault="00AE4F93" w:rsidP="00AE4F93">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w:hAnsi="Arial" w:cs="Arial"/>
        </w:rPr>
      </w:pPr>
      <w:r w:rsidRPr="003526C6">
        <w:rPr>
          <w:rFonts w:ascii="Arial" w:hAnsi="Arial" w:cs="Arial"/>
        </w:rPr>
        <w:t>Demonstrate a critical awareness of current problems with Performance Measurement techniques and new insights in financial management theory and practice.</w:t>
      </w:r>
    </w:p>
    <w:p w14:paraId="2CB68E7B" w14:textId="77777777" w:rsidR="00AE4F93" w:rsidRPr="003526C6" w:rsidRDefault="00AE4F93" w:rsidP="00AE4F93">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w:hAnsi="Arial" w:cs="Arial"/>
        </w:rPr>
      </w:pPr>
      <w:r w:rsidRPr="003526C6">
        <w:rPr>
          <w:rFonts w:ascii="Arial" w:hAnsi="Arial" w:cs="Arial"/>
        </w:rPr>
        <w:t>Apply a range of complex and advanced financial skills to various commercial scenarios.</w:t>
      </w:r>
    </w:p>
    <w:p w14:paraId="7284C08C" w14:textId="77777777" w:rsidR="00AE4F93" w:rsidRPr="003526C6" w:rsidRDefault="00AE4F93" w:rsidP="00AE4F93">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w:hAnsi="Arial" w:cs="Arial"/>
        </w:rPr>
      </w:pPr>
      <w:r w:rsidRPr="003526C6">
        <w:rPr>
          <w:rFonts w:ascii="Arial" w:hAnsi="Arial" w:cs="Arial"/>
        </w:rPr>
        <w:t>Act in a wide and often unpredictable variety of financial and ethical contexts.</w:t>
      </w:r>
    </w:p>
    <w:p w14:paraId="69DBC014" w14:textId="77777777" w:rsidR="00AE4F93" w:rsidRPr="003526C6" w:rsidRDefault="00AE4F93" w:rsidP="00AE4F93">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w:hAnsi="Arial" w:cs="Arial"/>
        </w:rPr>
      </w:pPr>
      <w:r w:rsidRPr="003526C6">
        <w:rPr>
          <w:rFonts w:ascii="Arial" w:hAnsi="Arial" w:cs="Arial"/>
        </w:rPr>
        <w:t>Scrutinise and reflect on the norms and relationships within management accounting and related fields.</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21AC74E4" w:rsidR="0090417E" w:rsidRDefault="00AE4F93" w:rsidP="0090417E">
            <w:pPr>
              <w:jc w:val="center"/>
              <w:rPr>
                <w:rFonts w:ascii="Arial" w:hAnsi="Arial" w:cs="Arial"/>
                <w:i/>
              </w:rPr>
            </w:pPr>
            <w:r>
              <w:rPr>
                <w:rFonts w:ascii="Arial" w:hAnsi="Arial" w:cs="Arial"/>
                <w:i/>
              </w:rPr>
              <w:t>22</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58ED7B9F" w:rsidR="0090417E" w:rsidRDefault="00B175B2" w:rsidP="0090417E">
            <w:pPr>
              <w:jc w:val="center"/>
              <w:rPr>
                <w:rFonts w:ascii="Arial" w:hAnsi="Arial" w:cs="Arial"/>
                <w:i/>
              </w:rPr>
            </w:pPr>
            <w:r>
              <w:rPr>
                <w:rFonts w:ascii="Arial" w:hAnsi="Arial" w:cs="Arial"/>
                <w:i/>
              </w:rPr>
              <w:t>22</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Pr="00B175B2" w:rsidRDefault="0090417E" w:rsidP="0090417E">
            <w:pPr>
              <w:jc w:val="both"/>
              <w:rPr>
                <w:rFonts w:ascii="Arial" w:hAnsi="Arial" w:cs="Arial"/>
                <w:i/>
              </w:rPr>
            </w:pPr>
            <w:r w:rsidRPr="00B175B2">
              <w:rPr>
                <w:rFonts w:ascii="Arial" w:hAnsi="Arial" w:cs="Arial"/>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42D4C2F6" w:rsidR="0090417E" w:rsidRDefault="0090417E" w:rsidP="0090417E">
            <w:pPr>
              <w:jc w:val="center"/>
              <w:rPr>
                <w:rFonts w:ascii="Arial" w:hAnsi="Arial" w:cs="Arial"/>
                <w:i/>
              </w:rPr>
            </w:pP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B175B2" w:rsidRDefault="0090417E" w:rsidP="0090417E">
            <w:pPr>
              <w:jc w:val="both"/>
              <w:rPr>
                <w:rFonts w:ascii="Arial" w:hAnsi="Arial" w:cs="Arial"/>
                <w:i/>
              </w:rPr>
            </w:pPr>
            <w:r w:rsidRPr="00B175B2">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22A70908" w:rsidR="0090417E" w:rsidRDefault="0008125B" w:rsidP="0090417E">
            <w:pPr>
              <w:jc w:val="center"/>
              <w:rPr>
                <w:rFonts w:ascii="Arial" w:hAnsi="Arial" w:cs="Arial"/>
                <w:i/>
              </w:rPr>
            </w:pPr>
            <w:r>
              <w:rPr>
                <w:rFonts w:ascii="Arial" w:hAnsi="Arial" w:cs="Arial"/>
                <w:i/>
              </w:rPr>
              <w:t>12</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Default="0090417E" w:rsidP="0090417E">
            <w:pPr>
              <w:jc w:val="both"/>
              <w:rPr>
                <w:rFonts w:ascii="Arial" w:hAnsi="Arial" w:cs="Arial"/>
                <w:i/>
              </w:rPr>
            </w:pPr>
            <w:r>
              <w:rPr>
                <w:rFonts w:ascii="Arial" w:hAnsi="Arial" w:cs="Arial"/>
                <w:i/>
              </w:rPr>
              <w:lastRenderedPageBreak/>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2F9129EF" w:rsidR="0090417E" w:rsidRDefault="0008125B" w:rsidP="0090417E">
            <w:pPr>
              <w:jc w:val="center"/>
              <w:rPr>
                <w:rFonts w:ascii="Arial" w:hAnsi="Arial" w:cs="Arial"/>
                <w:i/>
              </w:rPr>
            </w:pPr>
            <w:r>
              <w:rPr>
                <w:rFonts w:ascii="Arial" w:hAnsi="Arial" w:cs="Arial"/>
                <w:i/>
              </w:rPr>
              <w:t>24</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3DDF5154" w:rsidR="0090417E" w:rsidRDefault="00B175B2" w:rsidP="0090417E">
            <w:pPr>
              <w:jc w:val="center"/>
              <w:rPr>
                <w:rFonts w:ascii="Arial" w:hAnsi="Arial" w:cs="Arial"/>
                <w:i/>
              </w:rPr>
            </w:pPr>
            <w:r>
              <w:rPr>
                <w:rFonts w:ascii="Arial" w:hAnsi="Arial" w:cs="Arial"/>
                <w:i/>
              </w:rPr>
              <w:t>45</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0661889D" w:rsidR="0090417E" w:rsidRDefault="00E75560" w:rsidP="0090417E">
            <w:pPr>
              <w:jc w:val="center"/>
              <w:rPr>
                <w:rFonts w:ascii="Arial" w:hAnsi="Arial" w:cs="Arial"/>
                <w:b/>
                <w:i/>
              </w:rPr>
            </w:pPr>
            <w:r>
              <w:rPr>
                <w:rFonts w:ascii="Arial" w:hAnsi="Arial" w:cs="Arial"/>
                <w:b/>
                <w:i/>
              </w:rPr>
              <w:t>125</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77777777" w:rsidR="00D6718A" w:rsidRDefault="00D6718A" w:rsidP="00D6718A">
      <w:pPr>
        <w:rPr>
          <w:rFonts w:ascii="Arial" w:hAnsi="Arial" w:cs="Arial"/>
          <w:b/>
          <w:bCs/>
          <w:sz w:val="22"/>
          <w:szCs w:val="22"/>
        </w:rPr>
      </w:pPr>
      <w:bookmarkStart w:id="0" w:name="OLE_LINK1"/>
      <w:r>
        <w:rPr>
          <w:rFonts w:ascii="Arial" w:hAnsi="Arial" w:cs="Arial"/>
          <w:b/>
          <w:bCs/>
          <w:sz w:val="22"/>
          <w:szCs w:val="22"/>
        </w:rPr>
        <w:t xml:space="preserve">Required core course textbook: </w:t>
      </w:r>
    </w:p>
    <w:p w14:paraId="6556E984" w14:textId="75B3071C" w:rsidR="00AE4F93" w:rsidRPr="009C4D7E" w:rsidRDefault="00AE4F93" w:rsidP="00AE4F93">
      <w:pPr>
        <w:jc w:val="both"/>
        <w:rPr>
          <w:rFonts w:ascii="Arial" w:hAnsi="Arial" w:cs="Arial"/>
          <w:bCs/>
        </w:rPr>
      </w:pPr>
      <w:r w:rsidRPr="009C4D7E">
        <w:rPr>
          <w:rFonts w:ascii="Arial" w:hAnsi="Arial" w:cs="Arial"/>
          <w:bCs/>
        </w:rPr>
        <w:t>Drury (2016), Management Accounting for Business (</w:t>
      </w:r>
      <w:r w:rsidR="00D00B8E">
        <w:rPr>
          <w:rFonts w:ascii="Arial" w:hAnsi="Arial" w:cs="Arial"/>
          <w:bCs/>
        </w:rPr>
        <w:t>8</w:t>
      </w:r>
      <w:r w:rsidRPr="009C4D7E">
        <w:rPr>
          <w:rFonts w:ascii="Arial" w:hAnsi="Arial" w:cs="Arial"/>
          <w:bCs/>
        </w:rPr>
        <w:t xml:space="preserve">th edition), </w:t>
      </w:r>
      <w:proofErr w:type="gramStart"/>
      <w:r w:rsidRPr="009C4D7E">
        <w:rPr>
          <w:rFonts w:ascii="Arial" w:hAnsi="Arial" w:cs="Arial"/>
          <w:bCs/>
        </w:rPr>
        <w:t>South Western</w:t>
      </w:r>
      <w:proofErr w:type="gramEnd"/>
      <w:r w:rsidRPr="009C4D7E">
        <w:rPr>
          <w:rFonts w:ascii="Arial" w:hAnsi="Arial" w:cs="Arial"/>
          <w:bCs/>
        </w:rPr>
        <w:t xml:space="preserve"> Cengage Learning</w:t>
      </w:r>
    </w:p>
    <w:p w14:paraId="72291A77" w14:textId="77777777" w:rsidR="00AE4F93" w:rsidRDefault="00AE4F93" w:rsidP="00D6718A">
      <w:pPr>
        <w:rPr>
          <w:rFonts w:ascii="Arial" w:hAnsi="Arial" w:cs="Arial"/>
          <w:b/>
          <w:bCs/>
          <w:sz w:val="22"/>
          <w:szCs w:val="22"/>
        </w:rPr>
      </w:pPr>
    </w:p>
    <w:bookmarkEnd w:id="0"/>
    <w:p w14:paraId="5EFA814B" w14:textId="77777777" w:rsidR="00D6718A" w:rsidRPr="0090417E" w:rsidRDefault="00D6718A" w:rsidP="00D6718A">
      <w:pPr>
        <w:pStyle w:val="Heading6"/>
        <w:tabs>
          <w:tab w:val="left" w:pos="426"/>
        </w:tabs>
        <w:ind w:left="426" w:hanging="426"/>
        <w:rPr>
          <w:rFonts w:ascii="Arial" w:hAnsi="Arial" w:cs="Arial"/>
          <w:i w:val="0"/>
          <w:sz w:val="22"/>
          <w:szCs w:val="22"/>
        </w:rPr>
      </w:pPr>
    </w:p>
    <w:p w14:paraId="4B3F11E8" w14:textId="77777777" w:rsidR="00D6718A" w:rsidRDefault="00D6718A" w:rsidP="00D6718A">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64A40C60" w14:textId="77777777" w:rsidR="00D0794E" w:rsidRPr="002F2F99" w:rsidRDefault="00D0794E" w:rsidP="00D0794E">
      <w:pPr>
        <w:jc w:val="both"/>
        <w:rPr>
          <w:rFonts w:ascii="Arial" w:hAnsi="Arial" w:cs="Arial"/>
          <w:lang w:val="en-GB"/>
        </w:rPr>
      </w:pPr>
      <w:hyperlink r:id="rId9" w:history="1">
        <w:r w:rsidRPr="002F2F99">
          <w:rPr>
            <w:rStyle w:val="Hyperlink"/>
            <w:rFonts w:ascii="Arial" w:hAnsi="Arial" w:cs="Arial"/>
            <w:lang w:val="en-GB"/>
          </w:rPr>
          <w:t>http://www.accaglobal.com/ie/en/student/exam-support-resources/fundamentals-exams-study-resources/f5/technical-articles.html</w:t>
        </w:r>
      </w:hyperlink>
    </w:p>
    <w:p w14:paraId="047BBCAF" w14:textId="77777777" w:rsidR="00D0794E" w:rsidRPr="002F2F99" w:rsidRDefault="00D0794E" w:rsidP="00D0794E">
      <w:pPr>
        <w:jc w:val="both"/>
        <w:rPr>
          <w:rFonts w:ascii="Arial" w:hAnsi="Arial" w:cs="Arial"/>
          <w:lang w:val="en-GB"/>
        </w:rPr>
      </w:pPr>
    </w:p>
    <w:p w14:paraId="1DD19081" w14:textId="77777777" w:rsidR="00D0794E" w:rsidRPr="002F2F99" w:rsidRDefault="00D0794E" w:rsidP="00D0794E">
      <w:pPr>
        <w:jc w:val="both"/>
        <w:rPr>
          <w:rFonts w:ascii="Arial" w:hAnsi="Arial" w:cs="Arial"/>
          <w:lang w:val="en-GB"/>
        </w:rPr>
      </w:pPr>
      <w:r w:rsidRPr="002F2F99">
        <w:rPr>
          <w:rFonts w:ascii="Arial" w:hAnsi="Arial" w:cs="Arial"/>
          <w:lang w:val="en-GB"/>
        </w:rPr>
        <w:t>Hofstede, G. (1981). Management control of public and not-for-profit activities. Accounting, Organizations and society, 6(3), 193-211.</w:t>
      </w:r>
    </w:p>
    <w:p w14:paraId="0BA16E39" w14:textId="77777777" w:rsidR="00D0794E" w:rsidRPr="002F2F99" w:rsidRDefault="00D0794E" w:rsidP="00D0794E">
      <w:pPr>
        <w:jc w:val="both"/>
        <w:rPr>
          <w:rFonts w:ascii="Arial" w:hAnsi="Arial" w:cs="Arial"/>
          <w:lang w:val="en-GB"/>
        </w:rPr>
      </w:pPr>
    </w:p>
    <w:p w14:paraId="4B0E2D84" w14:textId="77777777" w:rsidR="00D0794E" w:rsidRPr="002F2F99" w:rsidRDefault="00D0794E" w:rsidP="00D0794E">
      <w:pPr>
        <w:jc w:val="both"/>
        <w:rPr>
          <w:rFonts w:ascii="Arial" w:hAnsi="Arial" w:cs="Arial"/>
        </w:rPr>
      </w:pPr>
      <w:r w:rsidRPr="002F2F99">
        <w:rPr>
          <w:rFonts w:ascii="Arial" w:hAnsi="Arial" w:cs="Arial"/>
        </w:rPr>
        <w:t>Theodore H. Poister (2003); measuring performance in public</w:t>
      </w:r>
      <w:r w:rsidRPr="002F2F99">
        <w:rPr>
          <w:rFonts w:ascii="MS Gothic" w:hAnsi="MS Gothic" w:cs="MS Gothic"/>
        </w:rPr>
        <w:t> </w:t>
      </w:r>
      <w:r w:rsidRPr="002F2F99">
        <w:rPr>
          <w:rFonts w:ascii="Arial" w:hAnsi="Arial" w:cs="Arial"/>
        </w:rPr>
        <w:t xml:space="preserve">and nonprofit organizations, Wiley. </w:t>
      </w:r>
    </w:p>
    <w:p w14:paraId="79F4EC41" w14:textId="77777777" w:rsidR="00D0794E" w:rsidRPr="002F2F99" w:rsidRDefault="00D0794E" w:rsidP="00D0794E">
      <w:pPr>
        <w:jc w:val="both"/>
        <w:rPr>
          <w:rFonts w:ascii="Arial" w:hAnsi="Arial" w:cs="Arial"/>
          <w:b/>
        </w:rPr>
      </w:pPr>
    </w:p>
    <w:p w14:paraId="44186882" w14:textId="77777777" w:rsidR="00D0794E" w:rsidRPr="002F2F99" w:rsidRDefault="00D0794E" w:rsidP="00D0794E">
      <w:pPr>
        <w:jc w:val="both"/>
        <w:rPr>
          <w:rFonts w:ascii="Arial" w:hAnsi="Arial" w:cs="Arial"/>
        </w:rPr>
      </w:pPr>
      <w:r w:rsidRPr="002F2F99">
        <w:rPr>
          <w:rFonts w:ascii="Arial" w:hAnsi="Arial" w:cs="Arial"/>
        </w:rPr>
        <w:t xml:space="preserve">It is also recommended that students maintain an awareness of financial matters through regular use of the FT website, and sources such as investopedia.com and finance.yahoo.com. </w:t>
      </w:r>
    </w:p>
    <w:p w14:paraId="776E1678" w14:textId="77777777" w:rsidR="00D0794E" w:rsidRPr="002F2F99" w:rsidRDefault="00D0794E" w:rsidP="00D0794E">
      <w:pPr>
        <w:jc w:val="both"/>
        <w:rPr>
          <w:rFonts w:ascii="Arial" w:hAnsi="Arial" w:cs="Arial"/>
          <w:b/>
        </w:rPr>
      </w:pPr>
    </w:p>
    <w:p w14:paraId="605910A1" w14:textId="77777777" w:rsidR="00D6718A" w:rsidRDefault="00D6718A" w:rsidP="00D6718A">
      <w:pPr>
        <w:rPr>
          <w:rFonts w:ascii="Arial" w:hAnsi="Arial" w:cs="Arial"/>
          <w:b/>
          <w:bCs/>
          <w:sz w:val="22"/>
          <w:szCs w:val="22"/>
          <w:u w:val="single"/>
        </w:rPr>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66ADB74C" w14:textId="77777777" w:rsidR="00AE4F93" w:rsidRDefault="00AE4F93" w:rsidP="00AE4F93">
      <w:pPr>
        <w:rPr>
          <w:rFonts w:ascii="Arial" w:eastAsiaTheme="minorHAnsi" w:hAnsi="Arial" w:cs="Arial"/>
          <w:szCs w:val="22"/>
        </w:rPr>
      </w:pPr>
      <w:r w:rsidRPr="00260F05">
        <w:rPr>
          <w:rFonts w:ascii="Arial" w:eastAsiaTheme="minorHAnsi" w:hAnsi="Arial" w:cs="Arial"/>
          <w:szCs w:val="22"/>
        </w:rPr>
        <w:t>Student</w:t>
      </w:r>
      <w:r>
        <w:rPr>
          <w:rFonts w:ascii="Arial" w:eastAsiaTheme="minorHAnsi" w:hAnsi="Arial" w:cs="Arial"/>
          <w:szCs w:val="22"/>
        </w:rPr>
        <w:t xml:space="preserve">s are expected </w:t>
      </w:r>
      <w:r w:rsidRPr="00260F05">
        <w:rPr>
          <w:rFonts w:ascii="Arial" w:eastAsiaTheme="minorHAnsi" w:hAnsi="Arial" w:cs="Arial"/>
          <w:szCs w:val="22"/>
        </w:rPr>
        <w:t xml:space="preserve">to </w:t>
      </w:r>
      <w:r>
        <w:rPr>
          <w:rFonts w:ascii="Arial" w:eastAsiaTheme="minorHAnsi" w:hAnsi="Arial" w:cs="Arial"/>
          <w:szCs w:val="22"/>
        </w:rPr>
        <w:t xml:space="preserve">have </w:t>
      </w:r>
      <w:r w:rsidRPr="00260F05">
        <w:rPr>
          <w:rFonts w:ascii="Arial" w:eastAsiaTheme="minorHAnsi" w:hAnsi="Arial" w:cs="Arial"/>
          <w:szCs w:val="22"/>
        </w:rPr>
        <w:t xml:space="preserve">read the relevant chapters </w:t>
      </w:r>
      <w:r>
        <w:rPr>
          <w:rFonts w:ascii="Arial" w:eastAsiaTheme="minorHAnsi" w:hAnsi="Arial" w:cs="Arial"/>
          <w:szCs w:val="22"/>
        </w:rPr>
        <w:t xml:space="preserve">and lecture notes (provided on Blackboard) </w:t>
      </w:r>
      <w:r w:rsidRPr="00260F05">
        <w:rPr>
          <w:rFonts w:ascii="Arial" w:eastAsiaTheme="minorHAnsi" w:hAnsi="Arial" w:cs="Arial"/>
          <w:szCs w:val="22"/>
        </w:rPr>
        <w:t xml:space="preserve">before </w:t>
      </w:r>
      <w:r>
        <w:rPr>
          <w:rFonts w:ascii="Arial" w:eastAsiaTheme="minorHAnsi" w:hAnsi="Arial" w:cs="Arial"/>
          <w:szCs w:val="22"/>
        </w:rPr>
        <w:t>each class.</w:t>
      </w:r>
    </w:p>
    <w:p w14:paraId="315DD898" w14:textId="77777777" w:rsidR="00AE4F93" w:rsidRDefault="00AE4F93" w:rsidP="00AE4F93">
      <w:pPr>
        <w:rPr>
          <w:rFonts w:ascii="Arial" w:eastAsiaTheme="minorHAnsi" w:hAnsi="Arial" w:cs="Arial"/>
          <w:szCs w:val="22"/>
        </w:rPr>
      </w:pPr>
    </w:p>
    <w:p w14:paraId="784B0DF7" w14:textId="7263B942" w:rsidR="00AE4F93" w:rsidRDefault="00AE4F93" w:rsidP="00AE4F93">
      <w:pPr>
        <w:rPr>
          <w:rFonts w:ascii="Arial" w:eastAsiaTheme="minorHAnsi" w:hAnsi="Arial" w:cs="Arial"/>
          <w:szCs w:val="22"/>
        </w:rPr>
      </w:pPr>
      <w:r w:rsidRPr="003526C6">
        <w:rPr>
          <w:rFonts w:ascii="Arial" w:eastAsiaTheme="minorHAnsi" w:hAnsi="Arial" w:cs="Arial"/>
          <w:szCs w:val="22"/>
        </w:rPr>
        <w:t xml:space="preserve">The lecturer will provide an explanation/discussion of the issues relevant to each topic on the module. This will be followed, where relevant, by practical illustrations using the core text. Students are expected to research and read additional materials on each topic in their own private study time and to attempt the assigned questions for each topic. </w:t>
      </w:r>
    </w:p>
    <w:p w14:paraId="391B4834" w14:textId="77777777" w:rsidR="00AE4F93" w:rsidRPr="00AE4F93" w:rsidRDefault="00AE4F93" w:rsidP="00AE4F93"/>
    <w:p w14:paraId="711EAC23" w14:textId="77777777" w:rsidR="005A2E11" w:rsidRDefault="005A2E11" w:rsidP="00D6718A">
      <w:pPr>
        <w:rPr>
          <w:rFonts w:ascii="Arial" w:hAnsi="Arial" w:cs="Arial"/>
          <w:b/>
          <w:smallCaps/>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56179F8C" w14:textId="77777777" w:rsidR="00AE4F93" w:rsidRPr="003310DE" w:rsidRDefault="00AE4F93" w:rsidP="00AE4F93">
      <w:pPr>
        <w:rPr>
          <w:rFonts w:ascii="Arial" w:hAnsi="Arial" w:cs="Arial"/>
        </w:rPr>
      </w:pPr>
      <w:r w:rsidRPr="003310DE">
        <w:rPr>
          <w:rFonts w:ascii="Arial" w:hAnsi="Arial" w:cs="Arial"/>
        </w:rPr>
        <w:t xml:space="preserve">Administrative information and relevant changes (e.g., dates, times, venues, group membership, deadlines, etc.) will be posted on </w:t>
      </w:r>
      <w:r w:rsidRPr="00F03F9D">
        <w:rPr>
          <w:rFonts w:ascii="Arial" w:hAnsi="Arial" w:cs="Arial"/>
        </w:rPr>
        <w:t>the course Blackboard page.</w:t>
      </w:r>
      <w:r w:rsidRPr="003310DE">
        <w:rPr>
          <w:rFonts w:ascii="Arial" w:hAnsi="Arial" w:cs="Arial"/>
        </w:rPr>
        <w:t xml:space="preserve"> </w:t>
      </w:r>
    </w:p>
    <w:p w14:paraId="635092C0" w14:textId="77777777" w:rsidR="00AE4F93" w:rsidRPr="003310DE" w:rsidRDefault="00AE4F93" w:rsidP="00AE4F93">
      <w:pPr>
        <w:rPr>
          <w:rFonts w:ascii="Arial" w:hAnsi="Arial" w:cs="Arial"/>
        </w:rPr>
      </w:pPr>
      <w:r w:rsidRPr="003310DE">
        <w:rPr>
          <w:rFonts w:ascii="Arial" w:hAnsi="Arial" w:cs="Arial"/>
        </w:rPr>
        <w:t xml:space="preserve">Students taking this course are responsible for </w:t>
      </w:r>
    </w:p>
    <w:p w14:paraId="251AC83D" w14:textId="77777777" w:rsidR="00AE4F93" w:rsidRPr="003310DE" w:rsidRDefault="00AE4F93" w:rsidP="00AE4F93">
      <w:pPr>
        <w:numPr>
          <w:ilvl w:val="0"/>
          <w:numId w:val="4"/>
        </w:numPr>
        <w:rPr>
          <w:rFonts w:ascii="Arial" w:hAnsi="Arial" w:cs="Arial"/>
        </w:rPr>
      </w:pPr>
      <w:r w:rsidRPr="003310DE">
        <w:rPr>
          <w:rFonts w:ascii="Arial" w:hAnsi="Arial" w:cs="Arial"/>
        </w:rPr>
        <w:t xml:space="preserve">checking their </w:t>
      </w:r>
      <w:proofErr w:type="gramStart"/>
      <w:r w:rsidRPr="003310DE">
        <w:rPr>
          <w:rFonts w:ascii="Arial" w:hAnsi="Arial" w:cs="Arial"/>
        </w:rPr>
        <w:t>College</w:t>
      </w:r>
      <w:proofErr w:type="gramEnd"/>
      <w:r w:rsidRPr="003310DE">
        <w:rPr>
          <w:rFonts w:ascii="Arial" w:hAnsi="Arial" w:cs="Arial"/>
        </w:rPr>
        <w:t xml:space="preserve"> email regularly </w:t>
      </w:r>
    </w:p>
    <w:p w14:paraId="0F8082A3" w14:textId="77777777" w:rsidR="00AE4F93" w:rsidRPr="003310DE" w:rsidRDefault="00AE4F93" w:rsidP="00AE4F93">
      <w:pPr>
        <w:numPr>
          <w:ilvl w:val="0"/>
          <w:numId w:val="4"/>
        </w:numPr>
        <w:rPr>
          <w:rFonts w:ascii="Arial" w:hAnsi="Arial" w:cs="Arial"/>
        </w:rPr>
      </w:pPr>
      <w:r w:rsidRPr="003310DE">
        <w:rPr>
          <w:rFonts w:ascii="Arial" w:hAnsi="Arial" w:cs="Arial"/>
        </w:rPr>
        <w:t xml:space="preserve">checking the course </w:t>
      </w:r>
      <w:r>
        <w:rPr>
          <w:rFonts w:ascii="Arial" w:hAnsi="Arial" w:cs="Arial"/>
        </w:rPr>
        <w:t>Blackboard</w:t>
      </w:r>
      <w:r w:rsidRPr="003310DE">
        <w:rPr>
          <w:rFonts w:ascii="Arial" w:hAnsi="Arial" w:cs="Arial"/>
        </w:rPr>
        <w:t xml:space="preserve"> page regularly</w:t>
      </w:r>
    </w:p>
    <w:p w14:paraId="50205CB7" w14:textId="77777777" w:rsidR="00AE4F93" w:rsidRDefault="00AE4F93" w:rsidP="00AE4F93">
      <w:pPr>
        <w:numPr>
          <w:ilvl w:val="0"/>
          <w:numId w:val="4"/>
        </w:numPr>
        <w:rPr>
          <w:rFonts w:ascii="Arial" w:hAnsi="Arial" w:cs="Arial"/>
        </w:rPr>
      </w:pPr>
      <w:r w:rsidRPr="00F03F9D">
        <w:rPr>
          <w:rFonts w:ascii="Arial" w:hAnsi="Arial" w:cs="Arial"/>
        </w:rPr>
        <w:t>assuring that they have access</w:t>
      </w:r>
      <w:r>
        <w:rPr>
          <w:rFonts w:ascii="Arial" w:hAnsi="Arial" w:cs="Arial"/>
        </w:rPr>
        <w:t xml:space="preserve"> to the course Blackboard page</w:t>
      </w:r>
    </w:p>
    <w:p w14:paraId="5E7C5248" w14:textId="77777777" w:rsidR="0008125B" w:rsidRDefault="0008125B" w:rsidP="0008125B">
      <w:pPr>
        <w:rPr>
          <w:rFonts w:ascii="Arial" w:hAnsi="Arial" w:cs="Arial"/>
        </w:rPr>
      </w:pPr>
    </w:p>
    <w:p w14:paraId="1CCDEE0B" w14:textId="77777777" w:rsidR="0008125B" w:rsidRDefault="0008125B" w:rsidP="0008125B">
      <w:pPr>
        <w:rPr>
          <w:rFonts w:ascii="Arial" w:hAnsi="Arial" w:cs="Arial"/>
        </w:rPr>
      </w:pPr>
    </w:p>
    <w:p w14:paraId="2B5B2F77" w14:textId="77777777" w:rsidR="0008125B" w:rsidRPr="0008125B" w:rsidRDefault="0008125B" w:rsidP="0008125B">
      <w:pPr>
        <w:rPr>
          <w:rFonts w:ascii="Neue Haas Grotesk Text Pro" w:hAnsi="Neue Haas Grotesk Text Pro" w:cs="Arial"/>
          <w:b/>
          <w:smallCaps/>
          <w:sz w:val="22"/>
          <w:szCs w:val="22"/>
        </w:rPr>
      </w:pPr>
      <w:r w:rsidRPr="0008125B">
        <w:rPr>
          <w:rFonts w:ascii="Neue Haas Grotesk Text Pro" w:hAnsi="Neue Haas Grotesk Text Pro" w:cs="Arial"/>
          <w:b/>
          <w:smallCaps/>
          <w:sz w:val="22"/>
          <w:szCs w:val="22"/>
        </w:rPr>
        <w:t xml:space="preserve">COURSE COMMUNICATION </w:t>
      </w:r>
    </w:p>
    <w:p w14:paraId="6438A598" w14:textId="77777777" w:rsidR="0008125B" w:rsidRPr="0008125B" w:rsidRDefault="0008125B" w:rsidP="0008125B">
      <w:pPr>
        <w:rPr>
          <w:rFonts w:ascii="Neue Haas Grotesk Text Pro" w:hAnsi="Neue Haas Grotesk Text Pro" w:cs="Arial"/>
          <w:b/>
          <w:sz w:val="22"/>
          <w:szCs w:val="22"/>
        </w:rPr>
      </w:pPr>
    </w:p>
    <w:p w14:paraId="6C35AF5A" w14:textId="77777777" w:rsidR="0008125B" w:rsidRPr="0008125B" w:rsidRDefault="0008125B" w:rsidP="0008125B">
      <w:pPr>
        <w:autoSpaceDE w:val="0"/>
        <w:autoSpaceDN w:val="0"/>
        <w:adjustRightInd w:val="0"/>
        <w:jc w:val="both"/>
        <w:rPr>
          <w:rFonts w:ascii="Neue Haas Grotesk Text Pro" w:hAnsi="Neue Haas Grotesk Text Pro" w:cs="Arial"/>
          <w:sz w:val="22"/>
          <w:szCs w:val="22"/>
          <w:lang w:val="en-US"/>
        </w:rPr>
      </w:pPr>
      <w:r w:rsidRPr="0008125B">
        <w:rPr>
          <w:rFonts w:ascii="Neue Haas Grotesk Text Pro" w:hAnsi="Neue Haas Grotesk Text Pro" w:cs="Arial"/>
          <w:sz w:val="22"/>
          <w:szCs w:val="22"/>
          <w:lang w:val="en-US"/>
        </w:rPr>
        <w:t>Lecture slides, video recordings, relevant journal articles, assignment descriptions, announcements and term results will be posted on Blackboard.</w:t>
      </w:r>
    </w:p>
    <w:p w14:paraId="6295088E" w14:textId="77777777" w:rsidR="0008125B" w:rsidRPr="0008125B" w:rsidRDefault="0008125B" w:rsidP="0008125B">
      <w:pPr>
        <w:rPr>
          <w:rFonts w:ascii="Neue Haas Grotesk Text Pro" w:hAnsi="Neue Haas Grotesk Text Pro" w:cs="Arial"/>
          <w:b/>
          <w:sz w:val="22"/>
          <w:szCs w:val="22"/>
        </w:rPr>
      </w:pPr>
    </w:p>
    <w:p w14:paraId="0A7608FB" w14:textId="77777777" w:rsidR="0008125B" w:rsidRPr="0008125B" w:rsidRDefault="0008125B" w:rsidP="0008125B">
      <w:pPr>
        <w:rPr>
          <w:rFonts w:ascii="Neue Haas Grotesk Text Pro" w:hAnsi="Neue Haas Grotesk Text Pro" w:cs="Arial"/>
          <w:sz w:val="22"/>
          <w:szCs w:val="22"/>
        </w:rPr>
      </w:pPr>
      <w:r w:rsidRPr="0008125B">
        <w:rPr>
          <w:rFonts w:ascii="Neue Haas Grotesk Text Pro" w:hAnsi="Neue Haas Grotesk Text Pro" w:cs="Arial"/>
          <w:sz w:val="22"/>
          <w:szCs w:val="22"/>
        </w:rPr>
        <w:t xml:space="preserve">Please note that all course related email communication </w:t>
      </w:r>
      <w:r w:rsidRPr="0008125B">
        <w:rPr>
          <w:rFonts w:ascii="Neue Haas Grotesk Text Pro" w:hAnsi="Neue Haas Grotesk Text Pro" w:cs="Arial"/>
          <w:sz w:val="22"/>
          <w:szCs w:val="22"/>
          <w:u w:val="single"/>
        </w:rPr>
        <w:t>must</w:t>
      </w:r>
      <w:r w:rsidRPr="0008125B">
        <w:rPr>
          <w:rFonts w:ascii="Neue Haas Grotesk Text Pro" w:hAnsi="Neue Haas Grotesk Text Pro" w:cs="Arial"/>
          <w:sz w:val="22"/>
          <w:szCs w:val="22"/>
        </w:rPr>
        <w:t xml:space="preserve"> be sent from your official TCD email address. Emails sent from other addresses will not be attended to.</w:t>
      </w:r>
    </w:p>
    <w:p w14:paraId="6D432D0B" w14:textId="77777777" w:rsidR="0008125B" w:rsidRPr="0008125B" w:rsidRDefault="0008125B" w:rsidP="0008125B">
      <w:pPr>
        <w:rPr>
          <w:rFonts w:ascii="Neue Haas Grotesk Text Pro" w:hAnsi="Neue Haas Grotesk Text Pro" w:cs="Arial"/>
          <w:b/>
          <w:sz w:val="22"/>
          <w:szCs w:val="22"/>
        </w:rPr>
      </w:pPr>
    </w:p>
    <w:p w14:paraId="4523F11D" w14:textId="77777777" w:rsidR="0008125B" w:rsidRPr="0008125B" w:rsidRDefault="0008125B" w:rsidP="0008125B">
      <w:pPr>
        <w:rPr>
          <w:rFonts w:ascii="Neue Haas Grotesk Text Pro" w:hAnsi="Neue Haas Grotesk Text Pro" w:cs="Arial"/>
          <w:b/>
          <w:sz w:val="22"/>
          <w:szCs w:val="22"/>
        </w:rPr>
      </w:pPr>
    </w:p>
    <w:p w14:paraId="0EE5B197" w14:textId="77777777" w:rsidR="0008125B" w:rsidRPr="0008125B" w:rsidRDefault="0008125B" w:rsidP="0008125B">
      <w:pPr>
        <w:jc w:val="both"/>
        <w:rPr>
          <w:rFonts w:ascii="Neue Haas Grotesk Text Pro" w:hAnsi="Neue Haas Grotesk Text Pro" w:cs="Arial"/>
          <w:b/>
          <w:sz w:val="22"/>
          <w:szCs w:val="22"/>
        </w:rPr>
      </w:pPr>
      <w:r w:rsidRPr="0008125B">
        <w:rPr>
          <w:rFonts w:ascii="Neue Haas Grotesk Text Pro" w:hAnsi="Neue Haas Grotesk Text Pro" w:cs="Arial"/>
          <w:b/>
          <w:sz w:val="22"/>
          <w:szCs w:val="22"/>
        </w:rPr>
        <w:t>ASSESSMENT</w:t>
      </w:r>
    </w:p>
    <w:p w14:paraId="1CDAAF58" w14:textId="77777777" w:rsidR="0008125B" w:rsidRPr="0008125B" w:rsidRDefault="0008125B" w:rsidP="0008125B">
      <w:pPr>
        <w:tabs>
          <w:tab w:val="num" w:pos="993"/>
        </w:tabs>
        <w:rPr>
          <w:rFonts w:ascii="Neue Haas Grotesk Text Pro" w:hAnsi="Neue Haas Grotesk Text Pro" w:cs="Arial"/>
          <w:b/>
          <w:sz w:val="22"/>
          <w:szCs w:val="22"/>
        </w:rPr>
      </w:pPr>
    </w:p>
    <w:p w14:paraId="0C85935F" w14:textId="77777777" w:rsidR="0008125B" w:rsidRPr="0008125B" w:rsidRDefault="0008125B" w:rsidP="0008125B">
      <w:pPr>
        <w:jc w:val="both"/>
        <w:rPr>
          <w:rFonts w:ascii="Neue Haas Grotesk Text Pro" w:hAnsi="Neue Haas Grotesk Text Pro" w:cs="Arial"/>
          <w:sz w:val="22"/>
          <w:szCs w:val="22"/>
          <w:lang w:val="en-US"/>
        </w:rPr>
      </w:pPr>
      <w:r w:rsidRPr="0008125B">
        <w:rPr>
          <w:rFonts w:ascii="Neue Haas Grotesk Text Pro" w:hAnsi="Neue Haas Grotesk Text Pro" w:cs="Arial"/>
          <w:sz w:val="22"/>
          <w:szCs w:val="22"/>
          <w:lang w:val="en-US"/>
        </w:rPr>
        <w:t xml:space="preserve">Assessment </w:t>
      </w:r>
      <w:proofErr w:type="gramStart"/>
      <w:r w:rsidRPr="0008125B">
        <w:rPr>
          <w:rFonts w:ascii="Neue Haas Grotesk Text Pro" w:hAnsi="Neue Haas Grotesk Text Pro" w:cs="Arial"/>
          <w:sz w:val="22"/>
          <w:szCs w:val="22"/>
          <w:lang w:val="en-US"/>
        </w:rPr>
        <w:t>for</w:t>
      </w:r>
      <w:proofErr w:type="gramEnd"/>
      <w:r w:rsidRPr="0008125B">
        <w:rPr>
          <w:rFonts w:ascii="Neue Haas Grotesk Text Pro" w:hAnsi="Neue Haas Grotesk Text Pro" w:cs="Arial"/>
          <w:sz w:val="22"/>
          <w:szCs w:val="22"/>
          <w:lang w:val="en-US"/>
        </w:rPr>
        <w:t xml:space="preserve"> this course will be as follows:</w:t>
      </w:r>
    </w:p>
    <w:p w14:paraId="7B73532A" w14:textId="77777777" w:rsidR="0008125B" w:rsidRPr="0008125B" w:rsidRDefault="0008125B" w:rsidP="0008125B">
      <w:pPr>
        <w:jc w:val="both"/>
        <w:rPr>
          <w:rFonts w:ascii="Neue Haas Grotesk Text Pro" w:hAnsi="Neue Haas Grotesk Text Pro" w:cs="Arial"/>
          <w:sz w:val="22"/>
          <w:szCs w:val="22"/>
          <w:lang w:val="en-US"/>
        </w:rPr>
      </w:pPr>
    </w:p>
    <w:p w14:paraId="124A602E" w14:textId="72FDE009" w:rsidR="0008125B" w:rsidRPr="0008125B" w:rsidRDefault="0008125B" w:rsidP="0008125B">
      <w:pPr>
        <w:jc w:val="both"/>
        <w:rPr>
          <w:rFonts w:ascii="Neue Haas Grotesk Text Pro" w:hAnsi="Neue Haas Grotesk Text Pro" w:cs="Arial"/>
          <w:sz w:val="22"/>
          <w:szCs w:val="22"/>
          <w:lang w:val="en-US"/>
        </w:rPr>
      </w:pPr>
      <w:r w:rsidRPr="0008125B">
        <w:rPr>
          <w:rFonts w:ascii="Neue Haas Grotesk Text Pro" w:hAnsi="Neue Haas Grotesk Text Pro" w:cs="Arial"/>
          <w:sz w:val="22"/>
          <w:szCs w:val="22"/>
          <w:lang w:val="en-US"/>
        </w:rPr>
        <w:t>Final Examination – 6</w:t>
      </w:r>
      <w:r>
        <w:rPr>
          <w:rFonts w:ascii="Neue Haas Grotesk Text Pro" w:hAnsi="Neue Haas Grotesk Text Pro" w:cs="Arial"/>
          <w:sz w:val="22"/>
          <w:szCs w:val="22"/>
          <w:lang w:val="en-US"/>
        </w:rPr>
        <w:t>5</w:t>
      </w:r>
      <w:r w:rsidRPr="0008125B">
        <w:rPr>
          <w:rFonts w:ascii="Neue Haas Grotesk Text Pro" w:hAnsi="Neue Haas Grotesk Text Pro" w:cs="Arial"/>
          <w:sz w:val="22"/>
          <w:szCs w:val="22"/>
          <w:lang w:val="en-US"/>
        </w:rPr>
        <w:t>%</w:t>
      </w:r>
    </w:p>
    <w:p w14:paraId="4A588A2B" w14:textId="77777777" w:rsidR="0008125B" w:rsidRPr="0008125B" w:rsidRDefault="0008125B" w:rsidP="0008125B">
      <w:pPr>
        <w:jc w:val="both"/>
        <w:rPr>
          <w:rFonts w:ascii="Neue Haas Grotesk Text Pro" w:hAnsi="Neue Haas Grotesk Text Pro" w:cs="Arial"/>
          <w:sz w:val="22"/>
          <w:szCs w:val="22"/>
          <w:lang w:val="en-US"/>
        </w:rPr>
      </w:pPr>
    </w:p>
    <w:p w14:paraId="41B97C12" w14:textId="6FFCA706" w:rsidR="0008125B" w:rsidRPr="0008125B" w:rsidRDefault="0008125B" w:rsidP="0008125B">
      <w:pPr>
        <w:jc w:val="both"/>
        <w:rPr>
          <w:rFonts w:ascii="Neue Haas Grotesk Text Pro" w:hAnsi="Neue Haas Grotesk Text Pro" w:cs="Arial"/>
          <w:sz w:val="22"/>
          <w:szCs w:val="22"/>
          <w:lang w:val="en-US"/>
        </w:rPr>
      </w:pPr>
      <w:r w:rsidRPr="0008125B">
        <w:rPr>
          <w:rFonts w:ascii="Neue Haas Grotesk Text Pro" w:hAnsi="Neue Haas Grotesk Text Pro" w:cs="Arial"/>
          <w:sz w:val="22"/>
          <w:szCs w:val="22"/>
          <w:lang w:val="en-US"/>
        </w:rPr>
        <w:t xml:space="preserve">Group </w:t>
      </w:r>
      <w:r>
        <w:rPr>
          <w:rFonts w:ascii="Neue Haas Grotesk Text Pro" w:hAnsi="Neue Haas Grotesk Text Pro" w:cs="Arial"/>
          <w:sz w:val="22"/>
          <w:szCs w:val="22"/>
          <w:lang w:val="en-US"/>
        </w:rPr>
        <w:t>Assignment</w:t>
      </w:r>
      <w:r w:rsidRPr="0008125B">
        <w:rPr>
          <w:rFonts w:ascii="Neue Haas Grotesk Text Pro" w:hAnsi="Neue Haas Grotesk Text Pro" w:cs="Arial"/>
          <w:sz w:val="22"/>
          <w:szCs w:val="22"/>
          <w:lang w:val="en-US"/>
        </w:rPr>
        <w:t xml:space="preserve"> – </w:t>
      </w:r>
      <w:r>
        <w:rPr>
          <w:rFonts w:ascii="Neue Haas Grotesk Text Pro" w:hAnsi="Neue Haas Grotesk Text Pro" w:cs="Arial"/>
          <w:sz w:val="22"/>
          <w:szCs w:val="22"/>
          <w:lang w:val="en-US"/>
        </w:rPr>
        <w:t>35</w:t>
      </w:r>
      <w:r w:rsidRPr="0008125B">
        <w:rPr>
          <w:rFonts w:ascii="Neue Haas Grotesk Text Pro" w:hAnsi="Neue Haas Grotesk Text Pro" w:cs="Arial"/>
          <w:sz w:val="22"/>
          <w:szCs w:val="22"/>
          <w:lang w:val="en-US"/>
        </w:rPr>
        <w:t>%</w:t>
      </w:r>
    </w:p>
    <w:p w14:paraId="03D9A053" w14:textId="77777777" w:rsidR="0008125B" w:rsidRPr="0008125B" w:rsidRDefault="0008125B" w:rsidP="0008125B">
      <w:pPr>
        <w:jc w:val="both"/>
        <w:rPr>
          <w:rFonts w:ascii="Neue Haas Grotesk Text Pro" w:hAnsi="Neue Haas Grotesk Text Pro" w:cs="Arial"/>
          <w:sz w:val="22"/>
          <w:szCs w:val="22"/>
          <w:lang w:val="en-US"/>
        </w:rPr>
      </w:pPr>
    </w:p>
    <w:p w14:paraId="4EE84533" w14:textId="77777777" w:rsidR="0008125B" w:rsidRPr="0008125B" w:rsidRDefault="0008125B" w:rsidP="0008125B">
      <w:pPr>
        <w:autoSpaceDE w:val="0"/>
        <w:autoSpaceDN w:val="0"/>
        <w:adjustRightInd w:val="0"/>
        <w:jc w:val="both"/>
        <w:rPr>
          <w:rFonts w:ascii="Neue Haas Grotesk Text Pro" w:hAnsi="Neue Haas Grotesk Text Pro" w:cs="Arial"/>
          <w:sz w:val="22"/>
          <w:szCs w:val="22"/>
          <w:lang w:val="en-US" w:eastAsia="en-IE"/>
        </w:rPr>
      </w:pPr>
      <w:r w:rsidRPr="0008125B">
        <w:rPr>
          <w:rFonts w:ascii="Neue Haas Grotesk Text Pro" w:hAnsi="Neue Haas Grotesk Text Pro" w:cs="Arial"/>
          <w:sz w:val="22"/>
          <w:szCs w:val="22"/>
          <w:lang w:val="en-US" w:eastAsia="en-IE"/>
        </w:rPr>
        <w:t>Students unable to submit an assignment for medical reasons must produce a medical certificate within three working days of the missed submission date. Certificates received after that time will not be accepted.</w:t>
      </w:r>
    </w:p>
    <w:p w14:paraId="3FB3A672" w14:textId="77777777" w:rsidR="0008125B" w:rsidRPr="0008125B" w:rsidRDefault="0008125B" w:rsidP="0008125B">
      <w:pPr>
        <w:rPr>
          <w:rFonts w:ascii="Neue Haas Grotesk Text Pro" w:hAnsi="Neue Haas Grotesk Text Pro" w:cs="Arial"/>
          <w:b/>
          <w:sz w:val="22"/>
          <w:szCs w:val="22"/>
        </w:rPr>
      </w:pPr>
    </w:p>
    <w:p w14:paraId="6A0532FC" w14:textId="77777777" w:rsidR="0008125B" w:rsidRPr="0008125B" w:rsidRDefault="0008125B" w:rsidP="0008125B">
      <w:pPr>
        <w:autoSpaceDE w:val="0"/>
        <w:autoSpaceDN w:val="0"/>
        <w:adjustRightInd w:val="0"/>
        <w:jc w:val="both"/>
        <w:rPr>
          <w:rFonts w:ascii="Neue Haas Grotesk Text Pro" w:hAnsi="Neue Haas Grotesk Text Pro" w:cs="Arial"/>
          <w:b/>
          <w:bCs/>
          <w:color w:val="000000"/>
          <w:sz w:val="22"/>
          <w:szCs w:val="22"/>
        </w:rPr>
      </w:pPr>
      <w:r w:rsidRPr="0008125B">
        <w:rPr>
          <w:rFonts w:ascii="Neue Haas Grotesk Text Pro" w:hAnsi="Neue Haas Grotesk Text Pro" w:cs="Arial"/>
          <w:b/>
          <w:bCs/>
          <w:color w:val="000000"/>
          <w:sz w:val="22"/>
          <w:szCs w:val="22"/>
        </w:rPr>
        <w:t>Note on assessment of students allowed to sit a supplemental exam</w:t>
      </w:r>
    </w:p>
    <w:p w14:paraId="6481EA00" w14:textId="77777777" w:rsidR="0008125B" w:rsidRPr="0008125B" w:rsidRDefault="0008125B" w:rsidP="0008125B">
      <w:pPr>
        <w:spacing w:before="100" w:beforeAutospacing="1" w:after="100" w:afterAutospacing="1"/>
        <w:jc w:val="both"/>
        <w:rPr>
          <w:rFonts w:ascii="Neue Haas Grotesk Text Pro" w:hAnsi="Neue Haas Grotesk Text Pro" w:cs="Arial"/>
          <w:sz w:val="22"/>
          <w:szCs w:val="22"/>
        </w:rPr>
      </w:pPr>
      <w:r w:rsidRPr="0008125B">
        <w:rPr>
          <w:rFonts w:ascii="Neue Haas Grotesk Text Pro" w:hAnsi="Neue Haas Grotesk Text Pro" w:cs="Arial"/>
          <w:sz w:val="22"/>
          <w:szCs w:val="22"/>
        </w:rPr>
        <w:t xml:space="preserve">Students who fail this module must sit a supplemental examination. The repeat examination results will account for 100% of the final mark for this module. </w:t>
      </w:r>
    </w:p>
    <w:p w14:paraId="66FAF6E3" w14:textId="77777777" w:rsidR="0008125B" w:rsidRPr="0008125B" w:rsidRDefault="0008125B" w:rsidP="0008125B">
      <w:pPr>
        <w:rPr>
          <w:rFonts w:ascii="Neue Haas Grotesk Text Pro" w:hAnsi="Neue Haas Grotesk Text Pro" w:cs="Raanana"/>
        </w:rPr>
      </w:pPr>
      <w:r w:rsidRPr="0008125B">
        <w:rPr>
          <w:rFonts w:ascii="Neue Haas Grotesk Text Pro" w:hAnsi="Neue Haas Grotesk Text Pro" w:cs="Raanana"/>
        </w:rPr>
        <w:t xml:space="preserve">Plagiarism: Plagiarism is interpreted by the University as the act of presenting the work of others as one’s own work without acknowledgement, and as such, </w:t>
      </w:r>
      <w:proofErr w:type="gramStart"/>
      <w:r w:rsidRPr="0008125B">
        <w:rPr>
          <w:rFonts w:ascii="Neue Haas Grotesk Text Pro" w:hAnsi="Neue Haas Grotesk Text Pro" w:cs="Raanana"/>
        </w:rPr>
        <w:t>is considered to be</w:t>
      </w:r>
      <w:proofErr w:type="gramEnd"/>
      <w:r w:rsidRPr="0008125B">
        <w:rPr>
          <w:rFonts w:ascii="Neue Haas Grotesk Text Pro" w:hAnsi="Neue Haas Grotesk Text Pro" w:cs="Raanana"/>
        </w:rPr>
        <w:t xml:space="preserve"> academically fraudulent. The University considers plagiarism to be a major </w:t>
      </w:r>
      <w:proofErr w:type="gramStart"/>
      <w:r w:rsidRPr="0008125B">
        <w:rPr>
          <w:rFonts w:ascii="Neue Haas Grotesk Text Pro" w:hAnsi="Neue Haas Grotesk Text Pro" w:cs="Raanana"/>
        </w:rPr>
        <w:t>offence</w:t>
      </w:r>
      <w:proofErr w:type="gramEnd"/>
      <w:r w:rsidRPr="0008125B">
        <w:rPr>
          <w:rFonts w:ascii="Neue Haas Grotesk Text Pro" w:hAnsi="Neue Haas Grotesk Text Pro" w:cs="Raanana"/>
        </w:rPr>
        <w:t xml:space="preserve"> and it is subject to the disciplinary procedures of the University. The University’s full statement is set out in the University Calendar, Part I, “General regulations and Information”: </w:t>
      </w:r>
      <w:hyperlink r:id="rId10" w:history="1">
        <w:r w:rsidRPr="0008125B">
          <w:rPr>
            <w:rFonts w:ascii="Neue Haas Grotesk Text Pro" w:hAnsi="Neue Haas Grotesk Text Pro" w:cs="Raanana"/>
            <w:color w:val="0000FF"/>
            <w:u w:val="single"/>
          </w:rPr>
          <w:t>https://www.tcd.ie/assets/documents/calendar/part1_general_regulations_and_information.pdf</w:t>
        </w:r>
      </w:hyperlink>
    </w:p>
    <w:p w14:paraId="48D747CB" w14:textId="77777777" w:rsidR="0008125B" w:rsidRDefault="0008125B" w:rsidP="0008125B">
      <w:pPr>
        <w:rPr>
          <w:rFonts w:ascii="Arial" w:hAnsi="Arial" w:cs="Arial"/>
        </w:rPr>
      </w:pPr>
    </w:p>
    <w:p w14:paraId="2C422DE0" w14:textId="77777777" w:rsidR="0008125B" w:rsidRDefault="0008125B" w:rsidP="0008125B">
      <w:pPr>
        <w:rPr>
          <w:rFonts w:ascii="Arial" w:hAnsi="Arial" w:cs="Arial"/>
        </w:rPr>
      </w:pPr>
    </w:p>
    <w:p w14:paraId="0BAF12EB" w14:textId="77777777" w:rsidR="0008125B" w:rsidRDefault="0008125B" w:rsidP="0008125B">
      <w:pPr>
        <w:rPr>
          <w:rFonts w:ascii="Arial" w:hAnsi="Arial" w:cs="Arial"/>
        </w:rPr>
      </w:pPr>
    </w:p>
    <w:p w14:paraId="712227BD" w14:textId="77777777" w:rsidR="0008125B" w:rsidRDefault="0008125B" w:rsidP="0008125B">
      <w:pPr>
        <w:rPr>
          <w:rFonts w:ascii="Arial" w:hAnsi="Arial" w:cs="Arial"/>
        </w:rPr>
      </w:pPr>
    </w:p>
    <w:p w14:paraId="3DFE4435" w14:textId="77777777" w:rsidR="0008125B" w:rsidRDefault="0008125B" w:rsidP="0008125B">
      <w:pPr>
        <w:rPr>
          <w:rFonts w:ascii="Arial" w:hAnsi="Arial" w:cs="Arial"/>
        </w:rPr>
      </w:pPr>
    </w:p>
    <w:p w14:paraId="2A831747" w14:textId="77777777" w:rsidR="0008125B" w:rsidRDefault="0008125B" w:rsidP="0008125B">
      <w:pPr>
        <w:rPr>
          <w:rFonts w:ascii="Arial" w:hAnsi="Arial" w:cs="Arial"/>
        </w:rPr>
      </w:pPr>
    </w:p>
    <w:p w14:paraId="3EF309BE" w14:textId="77777777" w:rsidR="0008125B" w:rsidRDefault="0008125B" w:rsidP="0008125B">
      <w:pPr>
        <w:rPr>
          <w:rFonts w:ascii="Arial" w:hAnsi="Arial" w:cs="Arial"/>
        </w:rPr>
      </w:pPr>
    </w:p>
    <w:p w14:paraId="2C75063B" w14:textId="77777777" w:rsidR="0008125B" w:rsidRDefault="0008125B" w:rsidP="0008125B">
      <w:pPr>
        <w:rPr>
          <w:rFonts w:ascii="Arial" w:hAnsi="Arial" w:cs="Arial"/>
        </w:rPr>
      </w:pPr>
    </w:p>
    <w:p w14:paraId="6D8380A8" w14:textId="77777777" w:rsidR="0008125B" w:rsidRPr="00EE7D11" w:rsidRDefault="0008125B" w:rsidP="0008125B">
      <w:pPr>
        <w:rPr>
          <w:rFonts w:ascii="Arial" w:hAnsi="Arial" w:cs="Arial"/>
        </w:rPr>
      </w:pP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D6718A"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44F398C6"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Term</w:t>
            </w:r>
          </w:p>
        </w:tc>
      </w:tr>
    </w:tbl>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913"/>
        <w:gridCol w:w="5786"/>
        <w:gridCol w:w="1934"/>
      </w:tblGrid>
      <w:tr w:rsidR="00D0794E" w:rsidRPr="00F711B7" w14:paraId="195C6065" w14:textId="77777777" w:rsidTr="00CF5E85">
        <w:trPr>
          <w:cantSplit/>
          <w:trHeight w:val="136"/>
          <w:jc w:val="center"/>
        </w:trPr>
        <w:tc>
          <w:tcPr>
            <w:tcW w:w="856" w:type="dxa"/>
            <w:tcBorders>
              <w:top w:val="single" w:sz="18" w:space="0" w:color="auto"/>
            </w:tcBorders>
          </w:tcPr>
          <w:p w14:paraId="64A1F0E1" w14:textId="77777777" w:rsidR="00D0794E" w:rsidRPr="00F711B7" w:rsidRDefault="00D0794E" w:rsidP="00CF5E85">
            <w:pPr>
              <w:keepNext/>
              <w:keepLines/>
              <w:spacing w:before="200"/>
              <w:outlineLvl w:val="6"/>
              <w:rPr>
                <w:rFonts w:ascii="Arial" w:eastAsiaTheme="majorEastAsia" w:hAnsi="Arial" w:cs="Arial"/>
                <w:b/>
                <w:iCs/>
                <w:color w:val="404040" w:themeColor="text1" w:themeTint="BF"/>
                <w:lang w:val="en-GB"/>
              </w:rPr>
            </w:pPr>
            <w:r w:rsidRPr="00F711B7">
              <w:rPr>
                <w:rFonts w:ascii="Arial" w:eastAsiaTheme="majorEastAsia" w:hAnsi="Arial" w:cs="Arial"/>
                <w:b/>
                <w:iCs/>
                <w:color w:val="404040" w:themeColor="text1" w:themeTint="BF"/>
                <w:lang w:val="en-GB"/>
              </w:rPr>
              <w:t>Part</w:t>
            </w:r>
          </w:p>
        </w:tc>
        <w:tc>
          <w:tcPr>
            <w:tcW w:w="1913" w:type="dxa"/>
            <w:tcBorders>
              <w:top w:val="single" w:sz="18" w:space="0" w:color="auto"/>
            </w:tcBorders>
          </w:tcPr>
          <w:p w14:paraId="33A2E71E" w14:textId="77777777" w:rsidR="00D0794E" w:rsidRPr="00F711B7" w:rsidRDefault="00D0794E" w:rsidP="00CF5E85">
            <w:pPr>
              <w:keepNext/>
              <w:keepLines/>
              <w:spacing w:before="200"/>
              <w:outlineLvl w:val="6"/>
              <w:rPr>
                <w:rFonts w:ascii="Arial" w:hAnsi="Arial" w:cs="Arial"/>
                <w:b/>
                <w:lang w:val="en-GB"/>
              </w:rPr>
            </w:pPr>
            <w:r w:rsidRPr="00F711B7">
              <w:rPr>
                <w:rFonts w:ascii="Arial" w:hAnsi="Arial" w:cs="Arial"/>
                <w:b/>
                <w:lang w:val="en-GB"/>
              </w:rPr>
              <w:t xml:space="preserve"> Outline</w:t>
            </w:r>
          </w:p>
          <w:p w14:paraId="0B893BA6" w14:textId="77777777" w:rsidR="00D0794E" w:rsidRPr="00F711B7" w:rsidRDefault="00D0794E" w:rsidP="00CF5E85">
            <w:pPr>
              <w:rPr>
                <w:rFonts w:ascii="Arial" w:hAnsi="Arial" w:cs="Arial"/>
                <w:b/>
                <w:lang w:val="en-GB"/>
              </w:rPr>
            </w:pPr>
          </w:p>
        </w:tc>
        <w:tc>
          <w:tcPr>
            <w:tcW w:w="5786" w:type="dxa"/>
            <w:tcBorders>
              <w:top w:val="single" w:sz="18" w:space="0" w:color="auto"/>
            </w:tcBorders>
          </w:tcPr>
          <w:p w14:paraId="2AC2094D" w14:textId="77777777" w:rsidR="00D0794E" w:rsidRPr="00F711B7" w:rsidRDefault="00D0794E" w:rsidP="00CF5E85">
            <w:pPr>
              <w:keepNext/>
              <w:keepLines/>
              <w:spacing w:before="200"/>
              <w:outlineLvl w:val="6"/>
              <w:rPr>
                <w:rFonts w:ascii="Arial" w:eastAsiaTheme="majorEastAsia" w:hAnsi="Arial" w:cs="Arial"/>
                <w:b/>
                <w:iCs/>
                <w:color w:val="404040" w:themeColor="text1" w:themeTint="BF"/>
                <w:lang w:val="en-GB"/>
              </w:rPr>
            </w:pPr>
            <w:r w:rsidRPr="00F711B7">
              <w:rPr>
                <w:rFonts w:ascii="Arial" w:eastAsiaTheme="majorEastAsia" w:hAnsi="Arial" w:cs="Arial"/>
                <w:b/>
                <w:iCs/>
                <w:color w:val="404040" w:themeColor="text1" w:themeTint="BF"/>
                <w:lang w:val="en-GB"/>
              </w:rPr>
              <w:t>Topics</w:t>
            </w:r>
          </w:p>
        </w:tc>
        <w:tc>
          <w:tcPr>
            <w:tcW w:w="1934" w:type="dxa"/>
            <w:tcBorders>
              <w:top w:val="single" w:sz="18" w:space="0" w:color="auto"/>
            </w:tcBorders>
          </w:tcPr>
          <w:p w14:paraId="70EB9913" w14:textId="77777777" w:rsidR="00D0794E" w:rsidRPr="00F711B7" w:rsidRDefault="00D0794E" w:rsidP="00CF5E85">
            <w:pPr>
              <w:keepNext/>
              <w:keepLines/>
              <w:spacing w:before="200"/>
              <w:outlineLvl w:val="6"/>
              <w:rPr>
                <w:rFonts w:ascii="Arial" w:eastAsiaTheme="majorEastAsia" w:hAnsi="Arial" w:cs="Arial"/>
                <w:b/>
                <w:iCs/>
                <w:color w:val="404040" w:themeColor="text1" w:themeTint="BF"/>
                <w:lang w:val="en-GB"/>
              </w:rPr>
            </w:pPr>
            <w:r w:rsidRPr="00F711B7">
              <w:rPr>
                <w:rFonts w:ascii="Arial" w:eastAsiaTheme="majorEastAsia" w:hAnsi="Arial" w:cs="Arial"/>
                <w:b/>
                <w:iCs/>
                <w:color w:val="404040" w:themeColor="text1" w:themeTint="BF"/>
                <w:lang w:val="en-GB"/>
              </w:rPr>
              <w:t>Reference</w:t>
            </w:r>
          </w:p>
        </w:tc>
      </w:tr>
      <w:tr w:rsidR="00D0794E" w:rsidRPr="00F711B7" w14:paraId="41739B26" w14:textId="77777777" w:rsidTr="00CF5E85">
        <w:trPr>
          <w:cantSplit/>
          <w:trHeight w:val="635"/>
          <w:jc w:val="center"/>
        </w:trPr>
        <w:tc>
          <w:tcPr>
            <w:tcW w:w="856" w:type="dxa"/>
          </w:tcPr>
          <w:p w14:paraId="16DFEE43" w14:textId="77777777" w:rsidR="00D0794E" w:rsidRPr="00F711B7" w:rsidRDefault="00D0794E" w:rsidP="00CF5E85">
            <w:pPr>
              <w:jc w:val="center"/>
              <w:rPr>
                <w:rFonts w:ascii="Arial" w:hAnsi="Arial" w:cs="Arial"/>
                <w:lang w:val="en-GB"/>
              </w:rPr>
            </w:pPr>
          </w:p>
          <w:p w14:paraId="27C42CED" w14:textId="526A3A30" w:rsidR="00D0794E" w:rsidRPr="00F711B7" w:rsidRDefault="00D0794E" w:rsidP="00CF5E85">
            <w:pPr>
              <w:jc w:val="center"/>
              <w:rPr>
                <w:rFonts w:ascii="Arial" w:hAnsi="Arial" w:cs="Arial"/>
                <w:lang w:val="en-GB"/>
              </w:rPr>
            </w:pPr>
            <w:r>
              <w:rPr>
                <w:rFonts w:ascii="Arial" w:hAnsi="Arial" w:cs="Arial"/>
                <w:lang w:val="en-GB"/>
              </w:rPr>
              <w:t>1</w:t>
            </w:r>
          </w:p>
        </w:tc>
        <w:tc>
          <w:tcPr>
            <w:tcW w:w="1913" w:type="dxa"/>
          </w:tcPr>
          <w:p w14:paraId="2BFC367F" w14:textId="77777777" w:rsidR="00D0794E" w:rsidRPr="00F711B7" w:rsidRDefault="00D0794E" w:rsidP="00CF5E85">
            <w:pPr>
              <w:rPr>
                <w:rFonts w:ascii="Arial" w:hAnsi="Arial" w:cs="Arial"/>
                <w:lang w:val="en-GB"/>
              </w:rPr>
            </w:pPr>
          </w:p>
          <w:p w14:paraId="05C37B09" w14:textId="77777777" w:rsidR="00D0794E" w:rsidRPr="00F711B7" w:rsidRDefault="00D0794E" w:rsidP="00CF5E85">
            <w:pPr>
              <w:rPr>
                <w:rFonts w:ascii="Arial" w:hAnsi="Arial" w:cs="Arial"/>
                <w:lang w:val="en-GB"/>
              </w:rPr>
            </w:pPr>
            <w:r w:rsidRPr="00F711B7">
              <w:rPr>
                <w:rFonts w:ascii="Arial" w:hAnsi="Arial" w:cs="Arial"/>
                <w:lang w:val="en-GB"/>
              </w:rPr>
              <w:t>Information for planning, control and performance measurement</w:t>
            </w:r>
          </w:p>
        </w:tc>
        <w:tc>
          <w:tcPr>
            <w:tcW w:w="5786" w:type="dxa"/>
          </w:tcPr>
          <w:p w14:paraId="3753B407" w14:textId="77777777" w:rsidR="00D0794E" w:rsidRPr="00F711B7" w:rsidRDefault="00D0794E" w:rsidP="00CF5E85">
            <w:pPr>
              <w:rPr>
                <w:rFonts w:ascii="Arial" w:hAnsi="Arial" w:cs="Arial"/>
                <w:lang w:val="en-GB"/>
              </w:rPr>
            </w:pPr>
          </w:p>
          <w:p w14:paraId="212E4D62" w14:textId="77777777" w:rsidR="00D0794E" w:rsidRPr="00F711B7" w:rsidRDefault="00D0794E" w:rsidP="00CF5E85">
            <w:pPr>
              <w:rPr>
                <w:rFonts w:ascii="Arial" w:hAnsi="Arial" w:cs="Arial"/>
                <w:lang w:val="en-GB"/>
              </w:rPr>
            </w:pPr>
            <w:r w:rsidRPr="00F711B7">
              <w:rPr>
                <w:rFonts w:ascii="Arial" w:hAnsi="Arial" w:cs="Arial"/>
                <w:lang w:val="en-GB"/>
              </w:rPr>
              <w:t>The budgeting process</w:t>
            </w:r>
          </w:p>
          <w:p w14:paraId="085B5E1B" w14:textId="77777777" w:rsidR="00D0794E" w:rsidRPr="00F711B7" w:rsidRDefault="00D0794E" w:rsidP="00CF5E85">
            <w:pPr>
              <w:rPr>
                <w:rFonts w:ascii="Arial" w:hAnsi="Arial" w:cs="Arial"/>
                <w:lang w:val="en-GB"/>
              </w:rPr>
            </w:pPr>
            <w:r w:rsidRPr="00F711B7">
              <w:rPr>
                <w:rFonts w:ascii="Arial" w:hAnsi="Arial" w:cs="Arial"/>
                <w:lang w:val="en-GB"/>
              </w:rPr>
              <w:t>Management control systems</w:t>
            </w:r>
          </w:p>
          <w:p w14:paraId="3435D972" w14:textId="77777777" w:rsidR="00D0794E" w:rsidRPr="00F711B7" w:rsidRDefault="00D0794E" w:rsidP="00CF5E85">
            <w:pPr>
              <w:rPr>
                <w:rFonts w:ascii="Arial" w:hAnsi="Arial" w:cs="Arial"/>
                <w:lang w:val="en-GB"/>
              </w:rPr>
            </w:pPr>
            <w:r w:rsidRPr="00F711B7">
              <w:rPr>
                <w:rFonts w:ascii="Arial" w:hAnsi="Arial" w:cs="Arial"/>
                <w:lang w:val="en-GB"/>
              </w:rPr>
              <w:t>Standard costing and variance analysis</w:t>
            </w:r>
          </w:p>
          <w:p w14:paraId="10E3C7A1" w14:textId="77777777" w:rsidR="00D0794E" w:rsidRPr="00F711B7" w:rsidRDefault="00D0794E" w:rsidP="00CF5E85">
            <w:pPr>
              <w:rPr>
                <w:rFonts w:ascii="Arial" w:hAnsi="Arial" w:cs="Arial"/>
                <w:lang w:val="en-GB"/>
              </w:rPr>
            </w:pPr>
            <w:r w:rsidRPr="00F711B7">
              <w:rPr>
                <w:rFonts w:ascii="Arial" w:hAnsi="Arial" w:cs="Arial"/>
                <w:lang w:val="en-GB"/>
              </w:rPr>
              <w:t>Divisional financial performance measures</w:t>
            </w:r>
          </w:p>
          <w:p w14:paraId="0D6E1D78" w14:textId="77777777" w:rsidR="00D0794E" w:rsidRPr="00F711B7" w:rsidRDefault="00D0794E" w:rsidP="00CF5E85">
            <w:pPr>
              <w:rPr>
                <w:rFonts w:ascii="Arial" w:hAnsi="Arial" w:cs="Arial"/>
                <w:lang w:val="en-GB"/>
              </w:rPr>
            </w:pPr>
            <w:r w:rsidRPr="00F711B7">
              <w:rPr>
                <w:rFonts w:ascii="Arial" w:hAnsi="Arial" w:cs="Arial"/>
                <w:lang w:val="en-GB"/>
              </w:rPr>
              <w:t xml:space="preserve">Transfer pricing in </w:t>
            </w:r>
            <w:proofErr w:type="spellStart"/>
            <w:r w:rsidRPr="00F711B7">
              <w:rPr>
                <w:rFonts w:ascii="Arial" w:hAnsi="Arial" w:cs="Arial"/>
                <w:lang w:val="en-GB"/>
              </w:rPr>
              <w:t>divisionalised</w:t>
            </w:r>
            <w:proofErr w:type="spellEnd"/>
            <w:r w:rsidRPr="00F711B7">
              <w:rPr>
                <w:rFonts w:ascii="Arial" w:hAnsi="Arial" w:cs="Arial"/>
                <w:lang w:val="en-GB"/>
              </w:rPr>
              <w:t xml:space="preserve"> companies</w:t>
            </w:r>
          </w:p>
          <w:p w14:paraId="546D3DFD" w14:textId="77777777" w:rsidR="00D0794E" w:rsidRPr="00F711B7" w:rsidRDefault="00D0794E" w:rsidP="00CF5E85">
            <w:pPr>
              <w:rPr>
                <w:rFonts w:ascii="Arial" w:hAnsi="Arial" w:cs="Arial"/>
                <w:lang w:val="en-GB"/>
              </w:rPr>
            </w:pPr>
          </w:p>
        </w:tc>
        <w:tc>
          <w:tcPr>
            <w:tcW w:w="1934" w:type="dxa"/>
          </w:tcPr>
          <w:p w14:paraId="7DEFF1FE" w14:textId="77777777" w:rsidR="00D0794E" w:rsidRPr="00F711B7" w:rsidRDefault="00D0794E" w:rsidP="00CF5E85">
            <w:pPr>
              <w:rPr>
                <w:rFonts w:ascii="Arial" w:hAnsi="Arial" w:cs="Arial"/>
                <w:lang w:val="en-GB"/>
              </w:rPr>
            </w:pPr>
          </w:p>
          <w:p w14:paraId="79238A5E" w14:textId="77777777" w:rsidR="00D0794E" w:rsidRPr="00F711B7" w:rsidRDefault="00D0794E" w:rsidP="00CF5E85">
            <w:pPr>
              <w:rPr>
                <w:rFonts w:ascii="Arial" w:hAnsi="Arial" w:cs="Arial"/>
                <w:lang w:val="en-GB"/>
              </w:rPr>
            </w:pPr>
            <w:r w:rsidRPr="00F711B7">
              <w:rPr>
                <w:rFonts w:ascii="Arial" w:hAnsi="Arial" w:cs="Arial"/>
                <w:lang w:val="en-GB"/>
              </w:rPr>
              <w:t>Class notes &amp;</w:t>
            </w:r>
          </w:p>
          <w:p w14:paraId="638023F8" w14:textId="77777777" w:rsidR="00D0794E" w:rsidRPr="00F711B7" w:rsidRDefault="00D0794E" w:rsidP="00CF5E85">
            <w:pPr>
              <w:rPr>
                <w:rFonts w:ascii="Arial" w:hAnsi="Arial" w:cs="Arial"/>
                <w:lang w:val="en-GB"/>
              </w:rPr>
            </w:pPr>
            <w:r w:rsidRPr="00F711B7">
              <w:rPr>
                <w:rFonts w:ascii="Arial" w:hAnsi="Arial" w:cs="Arial"/>
                <w:lang w:val="en-GB"/>
              </w:rPr>
              <w:t>chapters 9-13 (Drury)</w:t>
            </w:r>
          </w:p>
          <w:p w14:paraId="45F0C99E" w14:textId="77777777" w:rsidR="00D0794E" w:rsidRPr="00F711B7" w:rsidRDefault="00D0794E" w:rsidP="00CF5E85">
            <w:pPr>
              <w:rPr>
                <w:rFonts w:ascii="Arial" w:hAnsi="Arial" w:cs="Arial"/>
                <w:lang w:val="en-GB"/>
              </w:rPr>
            </w:pPr>
          </w:p>
        </w:tc>
      </w:tr>
      <w:tr w:rsidR="00D0794E" w:rsidRPr="00F711B7" w14:paraId="3B47E714" w14:textId="77777777" w:rsidTr="00CF5E85">
        <w:trPr>
          <w:cantSplit/>
          <w:trHeight w:val="1680"/>
          <w:jc w:val="center"/>
        </w:trPr>
        <w:tc>
          <w:tcPr>
            <w:tcW w:w="856" w:type="dxa"/>
          </w:tcPr>
          <w:p w14:paraId="0B13D81A" w14:textId="77777777" w:rsidR="00D0794E" w:rsidRPr="00F711B7" w:rsidRDefault="00D0794E" w:rsidP="00CF5E85">
            <w:pPr>
              <w:jc w:val="center"/>
              <w:rPr>
                <w:rFonts w:ascii="Arial" w:hAnsi="Arial" w:cs="Arial"/>
                <w:lang w:val="en-GB"/>
              </w:rPr>
            </w:pPr>
          </w:p>
          <w:p w14:paraId="13560203" w14:textId="55154920" w:rsidR="00D0794E" w:rsidRPr="00F711B7" w:rsidRDefault="00D0794E" w:rsidP="00CF5E85">
            <w:pPr>
              <w:jc w:val="center"/>
              <w:rPr>
                <w:rFonts w:ascii="Arial" w:hAnsi="Arial" w:cs="Arial"/>
                <w:lang w:val="en-GB"/>
              </w:rPr>
            </w:pPr>
            <w:r>
              <w:rPr>
                <w:rFonts w:ascii="Arial" w:hAnsi="Arial" w:cs="Arial"/>
                <w:lang w:val="en-GB"/>
              </w:rPr>
              <w:t>2</w:t>
            </w:r>
          </w:p>
        </w:tc>
        <w:tc>
          <w:tcPr>
            <w:tcW w:w="1913" w:type="dxa"/>
          </w:tcPr>
          <w:p w14:paraId="6597F924" w14:textId="77777777" w:rsidR="00D0794E" w:rsidRPr="00F711B7" w:rsidRDefault="00D0794E" w:rsidP="00CF5E85">
            <w:pPr>
              <w:rPr>
                <w:rFonts w:ascii="Arial" w:hAnsi="Arial" w:cs="Arial"/>
                <w:lang w:val="en-GB"/>
              </w:rPr>
            </w:pPr>
          </w:p>
          <w:p w14:paraId="123DC1EF" w14:textId="77777777" w:rsidR="00D0794E" w:rsidRPr="00F711B7" w:rsidRDefault="00D0794E" w:rsidP="00CF5E85">
            <w:pPr>
              <w:rPr>
                <w:rFonts w:ascii="Arial" w:hAnsi="Arial" w:cs="Arial"/>
                <w:lang w:val="en-GB"/>
              </w:rPr>
            </w:pPr>
            <w:r w:rsidRPr="00F711B7">
              <w:rPr>
                <w:rFonts w:ascii="Arial" w:hAnsi="Arial" w:cs="Arial"/>
                <w:lang w:val="en-GB"/>
              </w:rPr>
              <w:t>Strategic cost and performance management</w:t>
            </w:r>
          </w:p>
        </w:tc>
        <w:tc>
          <w:tcPr>
            <w:tcW w:w="5786" w:type="dxa"/>
          </w:tcPr>
          <w:p w14:paraId="664597DB" w14:textId="77777777" w:rsidR="00D0794E" w:rsidRPr="00F711B7" w:rsidRDefault="00D0794E" w:rsidP="00CF5E85">
            <w:pPr>
              <w:rPr>
                <w:rFonts w:ascii="Arial" w:hAnsi="Arial" w:cs="Arial"/>
                <w:lang w:val="en-GB"/>
              </w:rPr>
            </w:pPr>
          </w:p>
          <w:p w14:paraId="16DFA8F1" w14:textId="77777777" w:rsidR="00D0794E" w:rsidRPr="00F711B7" w:rsidRDefault="00D0794E" w:rsidP="00CF5E85">
            <w:pPr>
              <w:rPr>
                <w:rFonts w:ascii="Arial" w:hAnsi="Arial" w:cs="Arial"/>
                <w:lang w:val="en-GB"/>
              </w:rPr>
            </w:pPr>
            <w:r w:rsidRPr="00F711B7">
              <w:rPr>
                <w:rFonts w:ascii="Arial" w:hAnsi="Arial" w:cs="Arial"/>
                <w:lang w:val="en-GB"/>
              </w:rPr>
              <w:t xml:space="preserve">Strategic cost management, life cycle cost management, environmental cost management, </w:t>
            </w:r>
          </w:p>
        </w:tc>
        <w:tc>
          <w:tcPr>
            <w:tcW w:w="1934" w:type="dxa"/>
          </w:tcPr>
          <w:p w14:paraId="1D60ED1C" w14:textId="77777777" w:rsidR="00D0794E" w:rsidRPr="00F711B7" w:rsidRDefault="00D0794E" w:rsidP="00CF5E85">
            <w:pPr>
              <w:rPr>
                <w:rFonts w:ascii="Arial" w:hAnsi="Arial" w:cs="Arial"/>
                <w:lang w:val="en-GB"/>
              </w:rPr>
            </w:pPr>
          </w:p>
          <w:p w14:paraId="2A75108F" w14:textId="77777777" w:rsidR="00D0794E" w:rsidRPr="00F711B7" w:rsidRDefault="00D0794E" w:rsidP="00CF5E85">
            <w:pPr>
              <w:rPr>
                <w:rFonts w:ascii="Arial" w:hAnsi="Arial" w:cs="Arial"/>
                <w:lang w:val="en-GB"/>
              </w:rPr>
            </w:pPr>
            <w:r w:rsidRPr="00F711B7">
              <w:rPr>
                <w:rFonts w:ascii="Arial" w:hAnsi="Arial" w:cs="Arial"/>
                <w:lang w:val="en-GB"/>
              </w:rPr>
              <w:t>Class notes &amp;</w:t>
            </w:r>
          </w:p>
          <w:p w14:paraId="6808F911" w14:textId="77777777" w:rsidR="00D0794E" w:rsidRPr="00F711B7" w:rsidRDefault="00D0794E" w:rsidP="00CF5E85">
            <w:pPr>
              <w:rPr>
                <w:rFonts w:ascii="Arial" w:hAnsi="Arial" w:cs="Arial"/>
                <w:lang w:val="en-GB"/>
              </w:rPr>
            </w:pPr>
            <w:r w:rsidRPr="00F711B7">
              <w:rPr>
                <w:rFonts w:ascii="Arial" w:hAnsi="Arial" w:cs="Arial"/>
                <w:lang w:val="en-GB"/>
              </w:rPr>
              <w:t>Chapters 14-15 (Drury)</w:t>
            </w:r>
          </w:p>
        </w:tc>
      </w:tr>
      <w:tr w:rsidR="00D0794E" w:rsidRPr="00F711B7" w14:paraId="3E472181" w14:textId="77777777" w:rsidTr="00CF5E85">
        <w:trPr>
          <w:cantSplit/>
          <w:trHeight w:val="1680"/>
          <w:jc w:val="center"/>
        </w:trPr>
        <w:tc>
          <w:tcPr>
            <w:tcW w:w="856" w:type="dxa"/>
          </w:tcPr>
          <w:p w14:paraId="5078C54E" w14:textId="0C24F772" w:rsidR="00D0794E" w:rsidRPr="00F711B7" w:rsidRDefault="00D0794E" w:rsidP="00CF5E85">
            <w:pPr>
              <w:jc w:val="center"/>
              <w:rPr>
                <w:rFonts w:ascii="Arial" w:hAnsi="Arial" w:cs="Arial"/>
                <w:lang w:val="en-GB"/>
              </w:rPr>
            </w:pPr>
            <w:r>
              <w:rPr>
                <w:rFonts w:ascii="Arial" w:hAnsi="Arial" w:cs="Arial"/>
                <w:lang w:val="en-GB"/>
              </w:rPr>
              <w:t>3</w:t>
            </w:r>
          </w:p>
        </w:tc>
        <w:tc>
          <w:tcPr>
            <w:tcW w:w="1913" w:type="dxa"/>
          </w:tcPr>
          <w:p w14:paraId="44360F69" w14:textId="77777777" w:rsidR="00D0794E" w:rsidRPr="00F711B7" w:rsidRDefault="00D0794E" w:rsidP="00CF5E85">
            <w:pPr>
              <w:rPr>
                <w:rFonts w:ascii="Arial" w:hAnsi="Arial" w:cs="Arial"/>
                <w:lang w:val="en-GB"/>
              </w:rPr>
            </w:pPr>
            <w:r w:rsidRPr="00F711B7">
              <w:rPr>
                <w:rFonts w:ascii="Arial" w:hAnsi="Arial" w:cs="Arial"/>
                <w:lang w:val="en-GB"/>
              </w:rPr>
              <w:t>Selected special interest topics in Management Accounting</w:t>
            </w:r>
          </w:p>
        </w:tc>
        <w:tc>
          <w:tcPr>
            <w:tcW w:w="5786" w:type="dxa"/>
          </w:tcPr>
          <w:p w14:paraId="5CC42B5F" w14:textId="63642837" w:rsidR="00D0794E" w:rsidRPr="00F711B7" w:rsidRDefault="00C32128" w:rsidP="00D0794E">
            <w:pPr>
              <w:rPr>
                <w:rFonts w:ascii="Arial" w:hAnsi="Arial" w:cs="Arial"/>
                <w:strike/>
                <w:lang w:val="en-GB"/>
              </w:rPr>
            </w:pPr>
            <w:r>
              <w:rPr>
                <w:rFonts w:ascii="Arial" w:hAnsi="Arial" w:cs="Arial"/>
                <w:lang w:val="en-GB"/>
              </w:rPr>
              <w:t>ESG Accounting and climate change</w:t>
            </w:r>
          </w:p>
        </w:tc>
        <w:tc>
          <w:tcPr>
            <w:tcW w:w="1934" w:type="dxa"/>
          </w:tcPr>
          <w:p w14:paraId="6CC0BBA4" w14:textId="03696CB0" w:rsidR="00D0794E" w:rsidRPr="00F711B7" w:rsidRDefault="00D0794E" w:rsidP="00CF5E85">
            <w:pPr>
              <w:rPr>
                <w:rFonts w:ascii="Arial" w:hAnsi="Arial" w:cs="Arial"/>
                <w:lang w:val="en-GB"/>
              </w:rPr>
            </w:pPr>
            <w:r w:rsidRPr="00F711B7">
              <w:rPr>
                <w:rFonts w:ascii="Arial" w:hAnsi="Arial" w:cs="Arial"/>
                <w:lang w:val="en-GB"/>
              </w:rPr>
              <w:t xml:space="preserve">Case studies and selected journal papers. E.g. ACCA </w:t>
            </w:r>
            <w:r w:rsidR="00C32128">
              <w:rPr>
                <w:rFonts w:ascii="Arial" w:hAnsi="Arial" w:cs="Arial"/>
                <w:lang w:val="en-GB"/>
              </w:rPr>
              <w:t xml:space="preserve">/CIMA </w:t>
            </w:r>
            <w:r w:rsidRPr="00F711B7">
              <w:rPr>
                <w:rFonts w:ascii="Arial" w:hAnsi="Arial" w:cs="Arial"/>
                <w:lang w:val="en-GB"/>
              </w:rPr>
              <w:t xml:space="preserve">recommended reference material </w:t>
            </w:r>
          </w:p>
          <w:p w14:paraId="38EB8481" w14:textId="77777777" w:rsidR="00D0794E" w:rsidRPr="00F711B7" w:rsidRDefault="00D0794E" w:rsidP="00CF5E85">
            <w:pPr>
              <w:rPr>
                <w:rFonts w:ascii="Arial" w:hAnsi="Arial" w:cs="Arial"/>
                <w:lang w:val="en-GB"/>
              </w:rPr>
            </w:pPr>
          </w:p>
        </w:tc>
      </w:tr>
    </w:tbl>
    <w:p w14:paraId="41ECC354" w14:textId="4A9D0AA5" w:rsidR="002F6524" w:rsidRDefault="002F6524" w:rsidP="00D6718A">
      <w:pPr>
        <w:pStyle w:val="BodyText2"/>
        <w:jc w:val="both"/>
        <w:rPr>
          <w:rFonts w:ascii="Arial" w:hAnsi="Arial" w:cs="Arial"/>
          <w:sz w:val="24"/>
        </w:rPr>
      </w:pPr>
    </w:p>
    <w:p w14:paraId="43647BCB" w14:textId="77777777" w:rsidR="002F6524" w:rsidRDefault="002F6524" w:rsidP="00D6718A">
      <w:pPr>
        <w:pStyle w:val="BodyText2"/>
        <w:jc w:val="both"/>
        <w:rPr>
          <w:rFonts w:ascii="Arial" w:hAnsi="Arial" w:cs="Arial"/>
          <w:sz w:val="24"/>
        </w:rPr>
      </w:pPr>
    </w:p>
    <w:p w14:paraId="33E82C11" w14:textId="361A8239" w:rsidR="004D5D0E" w:rsidRDefault="004D5D0E" w:rsidP="00D6718A">
      <w:pPr>
        <w:pStyle w:val="BodyText2"/>
        <w:jc w:val="both"/>
        <w:rPr>
          <w:rFonts w:ascii="Arial" w:hAnsi="Arial" w:cs="Arial"/>
          <w:sz w:val="24"/>
        </w:rPr>
      </w:pPr>
    </w:p>
    <w:p w14:paraId="32028B84" w14:textId="26AF1362" w:rsidR="004D5D0E" w:rsidRDefault="004D5D0E" w:rsidP="00D6718A">
      <w:pPr>
        <w:pStyle w:val="BodyText2"/>
        <w:jc w:val="both"/>
      </w:pPr>
    </w:p>
    <w:p w14:paraId="25875492" w14:textId="53C420D5" w:rsidR="004D5D0E" w:rsidRDefault="004D5D0E" w:rsidP="00D6718A">
      <w:pPr>
        <w:pStyle w:val="BodyText2"/>
        <w:jc w:val="both"/>
      </w:pPr>
    </w:p>
    <w:p w14:paraId="285D37E4" w14:textId="77777777" w:rsidR="004D5D0E" w:rsidRDefault="004D5D0E" w:rsidP="004D5D0E">
      <w:pPr>
        <w:rPr>
          <w:rFonts w:ascii="Arial" w:hAnsi="Arial" w:cs="Arial"/>
          <w:b/>
          <w:sz w:val="22"/>
          <w:szCs w:val="22"/>
          <w:u w:val="single"/>
        </w:rPr>
      </w:pPr>
    </w:p>
    <w:p w14:paraId="1B35E48C" w14:textId="77777777" w:rsidR="004D5D0E" w:rsidRDefault="004D5D0E" w:rsidP="004D5D0E">
      <w:pPr>
        <w:rPr>
          <w:rFonts w:ascii="Arial" w:hAnsi="Arial" w:cs="Arial"/>
          <w:b/>
          <w:sz w:val="22"/>
          <w:szCs w:val="22"/>
          <w:u w:val="single"/>
        </w:rPr>
      </w:pPr>
    </w:p>
    <w:p w14:paraId="262C6346" w14:textId="0FE92A62" w:rsidR="004D5D0E" w:rsidRDefault="004D5D0E" w:rsidP="00D6718A">
      <w:pPr>
        <w:pStyle w:val="BodyText2"/>
        <w:jc w:val="both"/>
      </w:pPr>
    </w:p>
    <w:p w14:paraId="5D15AC59" w14:textId="447997B1" w:rsidR="006D6D3A" w:rsidRPr="00BC0635" w:rsidRDefault="00D6718A" w:rsidP="00525101">
      <w:pPr>
        <w:pStyle w:val="BodyText2"/>
        <w:jc w:val="both"/>
        <w:rPr>
          <w:rFonts w:ascii="Arial" w:hAnsi="Arial" w:cs="Arial"/>
          <w:i w:val="0"/>
          <w:iCs w:val="0"/>
          <w:sz w:val="24"/>
        </w:rPr>
        <w:sectPr w:rsidR="006D6D3A" w:rsidRPr="00BC0635">
          <w:pgSz w:w="12240" w:h="15840"/>
          <w:pgMar w:top="1440" w:right="1440" w:bottom="1440" w:left="1440" w:header="720" w:footer="720" w:gutter="0"/>
          <w:cols w:space="720"/>
          <w:docGrid w:linePitch="360"/>
        </w:sectPr>
      </w:pPr>
      <w:r w:rsidRPr="004D5D0E">
        <w:br w:type="page"/>
      </w:r>
    </w:p>
    <w:p w14:paraId="598ACA9E" w14:textId="77777777" w:rsidR="00B43ECE" w:rsidRDefault="00B43ECE" w:rsidP="00B43ECE">
      <w:pPr>
        <w:pStyle w:val="BodyText2"/>
        <w:jc w:val="both"/>
        <w:rPr>
          <w:rFonts w:ascii="Arial" w:hAnsi="Arial" w:cs="Arial"/>
          <w:b/>
          <w:i w:val="0"/>
          <w:iCs w:val="0"/>
          <w:smallCaps/>
          <w:sz w:val="28"/>
          <w:szCs w:val="28"/>
        </w:rPr>
      </w:pPr>
      <w:r>
        <w:rPr>
          <w:rFonts w:ascii="Arial" w:hAnsi="Arial" w:cs="Arial"/>
          <w:b/>
          <w:i w:val="0"/>
          <w:iCs w:val="0"/>
          <w:smallCaps/>
          <w:sz w:val="28"/>
          <w:szCs w:val="28"/>
        </w:rPr>
        <w:lastRenderedPageBreak/>
        <w:t xml:space="preserve">Biographical Note: </w:t>
      </w:r>
    </w:p>
    <w:p w14:paraId="3C8BE7F7" w14:textId="77777777" w:rsidR="00B43ECE" w:rsidRDefault="00B43ECE" w:rsidP="00B43ECE">
      <w:pPr>
        <w:pStyle w:val="BodyText2"/>
        <w:jc w:val="both"/>
        <w:rPr>
          <w:rFonts w:ascii="Arial" w:hAnsi="Arial" w:cs="Arial"/>
          <w:i w:val="0"/>
          <w:iCs w:val="0"/>
          <w:sz w:val="24"/>
        </w:rPr>
      </w:pPr>
    </w:p>
    <w:p w14:paraId="4E5CCF55" w14:textId="3294E85D" w:rsidR="00B43ECE" w:rsidRDefault="00C32128" w:rsidP="00C6579D">
      <w:pPr>
        <w:jc w:val="both"/>
      </w:pPr>
      <w:r w:rsidRPr="00C32128">
        <w:t xml:space="preserve">Ranadeva Jayasekera is a Professor in Accounting at the Trinity Business School, University of Dublin. Ranadeva completed an MPhil in Finance at the University of Cambridge and was awarded a full scholarship to continue his research to a doctoral level. He obtained his PhD from Cambridge in Accounting and </w:t>
      </w:r>
      <w:proofErr w:type="gramStart"/>
      <w:r w:rsidRPr="00C32128">
        <w:t>Finance</w:t>
      </w:r>
      <w:proofErr w:type="gramEnd"/>
      <w:r w:rsidRPr="00C32128">
        <w:t xml:space="preserve"> and his thesis is a combination of three interrelated papers based on the US airline industry branching in to the areas of modelling corporate distress, real options analysis and the implications of the anomalies of the US bankruptcy code. He joined the quantitative finance team of Deloitte in London at a senior capacity in 2007 and has been involved in the Valuation, structuring and modelling of complex financial instruments of major investment banks.  He moved back into academia in 2009, joining the faculty at the University of </w:t>
      </w:r>
      <w:proofErr w:type="spellStart"/>
      <w:r w:rsidRPr="00C32128">
        <w:t>Southampon</w:t>
      </w:r>
      <w:proofErr w:type="spellEnd"/>
      <w:r w:rsidRPr="00C32128">
        <w:t xml:space="preserve"> as a lecturer and then became a senior lecturer at the </w:t>
      </w:r>
      <w:proofErr w:type="spellStart"/>
      <w:r w:rsidRPr="00C32128">
        <w:t>Cranfiled</w:t>
      </w:r>
      <w:proofErr w:type="spellEnd"/>
      <w:r w:rsidRPr="00C32128">
        <w:t xml:space="preserve"> University prior to joining Trinity College Dublin as an </w:t>
      </w:r>
      <w:proofErr w:type="spellStart"/>
      <w:r w:rsidRPr="00C32128">
        <w:t>assoicate</w:t>
      </w:r>
      <w:proofErr w:type="spellEnd"/>
      <w:r w:rsidRPr="00C32128">
        <w:t xml:space="preserve"> professor in 2015. Ranadeva has got several publications in reputed international journals. His current research interests are in the areas of Capital Structure, real options, financial flexibility, Market efficiency, and bankruptcy prediction.</w:t>
      </w:r>
    </w:p>
    <w:sectPr w:rsidR="00B43ECE" w:rsidSect="006D6D3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99B1" w14:textId="77777777" w:rsidR="00FD49C7" w:rsidRDefault="00FD49C7" w:rsidP="006D6D3A">
      <w:r>
        <w:separator/>
      </w:r>
    </w:p>
  </w:endnote>
  <w:endnote w:type="continuationSeparator" w:id="0">
    <w:p w14:paraId="4653F031" w14:textId="77777777" w:rsidR="00FD49C7" w:rsidRDefault="00FD49C7"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Raanana">
    <w:altName w:val="Times New Roman"/>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911A" w14:textId="77777777" w:rsidR="00FD49C7" w:rsidRDefault="00FD49C7" w:rsidP="006D6D3A">
      <w:r>
        <w:separator/>
      </w:r>
    </w:p>
  </w:footnote>
  <w:footnote w:type="continuationSeparator" w:id="0">
    <w:p w14:paraId="77000025" w14:textId="77777777" w:rsidR="00FD49C7" w:rsidRDefault="00FD49C7"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7AB"/>
    <w:multiLevelType w:val="hybridMultilevel"/>
    <w:tmpl w:val="95AA2DCE"/>
    <w:lvl w:ilvl="0" w:tplc="B4E6793C">
      <w:start w:val="1"/>
      <w:numFmt w:val="decimal"/>
      <w:lvlText w:val="%1."/>
      <w:lvlJc w:val="left"/>
      <w:pPr>
        <w:ind w:left="786" w:hanging="360"/>
      </w:pPr>
      <w:rPr>
        <w:rFonts w:ascii="Arial" w:hAnsi="Arial" w:cs="Aria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FE3B07"/>
    <w:multiLevelType w:val="multilevel"/>
    <w:tmpl w:val="9BDA81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966AC"/>
    <w:multiLevelType w:val="hybridMultilevel"/>
    <w:tmpl w:val="1E8666D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F2DD4"/>
    <w:multiLevelType w:val="hybridMultilevel"/>
    <w:tmpl w:val="CB2E27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4AE4403B"/>
    <w:multiLevelType w:val="hybridMultilevel"/>
    <w:tmpl w:val="CF405FA4"/>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4"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570466"/>
    <w:multiLevelType w:val="hybridMultilevel"/>
    <w:tmpl w:val="D52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E415E"/>
    <w:multiLevelType w:val="hybridMultilevel"/>
    <w:tmpl w:val="3AF08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43467"/>
    <w:multiLevelType w:val="hybridMultilevel"/>
    <w:tmpl w:val="46CA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646F4C"/>
    <w:multiLevelType w:val="hybridMultilevel"/>
    <w:tmpl w:val="0B540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E5BDA"/>
    <w:multiLevelType w:val="hybridMultilevel"/>
    <w:tmpl w:val="22AC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7538008">
    <w:abstractNumId w:val="5"/>
  </w:num>
  <w:num w:numId="2" w16cid:durableId="1952667904">
    <w:abstractNumId w:val="13"/>
  </w:num>
  <w:num w:numId="3" w16cid:durableId="19477319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3975788">
    <w:abstractNumId w:val="27"/>
  </w:num>
  <w:num w:numId="5" w16cid:durableId="1107697501">
    <w:abstractNumId w:val="4"/>
  </w:num>
  <w:num w:numId="6" w16cid:durableId="949555763">
    <w:abstractNumId w:val="24"/>
  </w:num>
  <w:num w:numId="7" w16cid:durableId="2129421783">
    <w:abstractNumId w:val="33"/>
  </w:num>
  <w:num w:numId="8" w16cid:durableId="687022115">
    <w:abstractNumId w:val="29"/>
  </w:num>
  <w:num w:numId="9" w16cid:durableId="1429547471">
    <w:abstractNumId w:val="9"/>
  </w:num>
  <w:num w:numId="10" w16cid:durableId="250815179">
    <w:abstractNumId w:val="14"/>
  </w:num>
  <w:num w:numId="11" w16cid:durableId="171453736">
    <w:abstractNumId w:val="31"/>
  </w:num>
  <w:num w:numId="12" w16cid:durableId="406652275">
    <w:abstractNumId w:val="18"/>
  </w:num>
  <w:num w:numId="13" w16cid:durableId="983050432">
    <w:abstractNumId w:val="3"/>
  </w:num>
  <w:num w:numId="14" w16cid:durableId="1034697926">
    <w:abstractNumId w:val="21"/>
  </w:num>
  <w:num w:numId="15" w16cid:durableId="1562209235">
    <w:abstractNumId w:val="15"/>
  </w:num>
  <w:num w:numId="16" w16cid:durableId="378894210">
    <w:abstractNumId w:val="19"/>
  </w:num>
  <w:num w:numId="17" w16cid:durableId="2002930892">
    <w:abstractNumId w:val="1"/>
  </w:num>
  <w:num w:numId="18" w16cid:durableId="1039431947">
    <w:abstractNumId w:val="10"/>
  </w:num>
  <w:num w:numId="19" w16cid:durableId="1844928435">
    <w:abstractNumId w:val="2"/>
  </w:num>
  <w:num w:numId="20" w16cid:durableId="1722287735">
    <w:abstractNumId w:val="23"/>
  </w:num>
  <w:num w:numId="21" w16cid:durableId="1745492838">
    <w:abstractNumId w:val="6"/>
  </w:num>
  <w:num w:numId="22" w16cid:durableId="1931741566">
    <w:abstractNumId w:val="17"/>
  </w:num>
  <w:num w:numId="23" w16cid:durableId="612712628">
    <w:abstractNumId w:val="12"/>
  </w:num>
  <w:num w:numId="24" w16cid:durableId="1218396040">
    <w:abstractNumId w:val="11"/>
  </w:num>
  <w:num w:numId="25" w16cid:durableId="1412041172">
    <w:abstractNumId w:val="8"/>
  </w:num>
  <w:num w:numId="26" w16cid:durableId="733822455">
    <w:abstractNumId w:val="0"/>
  </w:num>
  <w:num w:numId="27" w16cid:durableId="2111461694">
    <w:abstractNumId w:val="30"/>
  </w:num>
  <w:num w:numId="28" w16cid:durableId="1088114017">
    <w:abstractNumId w:val="28"/>
  </w:num>
  <w:num w:numId="29" w16cid:durableId="551500757">
    <w:abstractNumId w:val="26"/>
  </w:num>
  <w:num w:numId="30" w16cid:durableId="1328242210">
    <w:abstractNumId w:val="16"/>
  </w:num>
  <w:num w:numId="31" w16cid:durableId="252707898">
    <w:abstractNumId w:val="7"/>
  </w:num>
  <w:num w:numId="32" w16cid:durableId="1894736463">
    <w:abstractNumId w:val="25"/>
  </w:num>
  <w:num w:numId="33" w16cid:durableId="1521701309">
    <w:abstractNumId w:val="32"/>
  </w:num>
  <w:num w:numId="34" w16cid:durableId="15867233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53A9E"/>
    <w:rsid w:val="00073312"/>
    <w:rsid w:val="0008125B"/>
    <w:rsid w:val="0008514B"/>
    <w:rsid w:val="00090B67"/>
    <w:rsid w:val="000924CD"/>
    <w:rsid w:val="000A2C1D"/>
    <w:rsid w:val="00105706"/>
    <w:rsid w:val="00122CE5"/>
    <w:rsid w:val="00161A37"/>
    <w:rsid w:val="001628FD"/>
    <w:rsid w:val="001920C6"/>
    <w:rsid w:val="001A6701"/>
    <w:rsid w:val="001A79FA"/>
    <w:rsid w:val="001B1932"/>
    <w:rsid w:val="001C367D"/>
    <w:rsid w:val="001F198D"/>
    <w:rsid w:val="0022300B"/>
    <w:rsid w:val="00251A64"/>
    <w:rsid w:val="002548BB"/>
    <w:rsid w:val="002A528C"/>
    <w:rsid w:val="002B250F"/>
    <w:rsid w:val="002B5410"/>
    <w:rsid w:val="002D7F7A"/>
    <w:rsid w:val="002F56BA"/>
    <w:rsid w:val="002F6524"/>
    <w:rsid w:val="00311AAB"/>
    <w:rsid w:val="0033323E"/>
    <w:rsid w:val="00354853"/>
    <w:rsid w:val="003631DA"/>
    <w:rsid w:val="003A107A"/>
    <w:rsid w:val="003B41AC"/>
    <w:rsid w:val="003B49F0"/>
    <w:rsid w:val="003E524A"/>
    <w:rsid w:val="003F6201"/>
    <w:rsid w:val="00407BB9"/>
    <w:rsid w:val="004154F0"/>
    <w:rsid w:val="00420E88"/>
    <w:rsid w:val="00447E89"/>
    <w:rsid w:val="004963C6"/>
    <w:rsid w:val="004A183D"/>
    <w:rsid w:val="004D2AEC"/>
    <w:rsid w:val="004D2C0C"/>
    <w:rsid w:val="004D5D0E"/>
    <w:rsid w:val="004D65D8"/>
    <w:rsid w:val="004D7E40"/>
    <w:rsid w:val="004E6C2A"/>
    <w:rsid w:val="004F09A5"/>
    <w:rsid w:val="004F443E"/>
    <w:rsid w:val="004F6C92"/>
    <w:rsid w:val="004F7BD7"/>
    <w:rsid w:val="00525101"/>
    <w:rsid w:val="0054217E"/>
    <w:rsid w:val="00553BD0"/>
    <w:rsid w:val="00570204"/>
    <w:rsid w:val="00591D81"/>
    <w:rsid w:val="005939F8"/>
    <w:rsid w:val="005A2E11"/>
    <w:rsid w:val="005D09D8"/>
    <w:rsid w:val="0060562B"/>
    <w:rsid w:val="00614B4B"/>
    <w:rsid w:val="00616B8F"/>
    <w:rsid w:val="00630005"/>
    <w:rsid w:val="00631103"/>
    <w:rsid w:val="006378F8"/>
    <w:rsid w:val="0064684D"/>
    <w:rsid w:val="00651DF3"/>
    <w:rsid w:val="00671759"/>
    <w:rsid w:val="00681D97"/>
    <w:rsid w:val="00687322"/>
    <w:rsid w:val="00687658"/>
    <w:rsid w:val="00695AFC"/>
    <w:rsid w:val="0069718B"/>
    <w:rsid w:val="006B2DE4"/>
    <w:rsid w:val="006D27EA"/>
    <w:rsid w:val="006D68D0"/>
    <w:rsid w:val="006D6D3A"/>
    <w:rsid w:val="006F6D3A"/>
    <w:rsid w:val="006F7A34"/>
    <w:rsid w:val="0072433E"/>
    <w:rsid w:val="007264F3"/>
    <w:rsid w:val="00727593"/>
    <w:rsid w:val="0074356E"/>
    <w:rsid w:val="007974CD"/>
    <w:rsid w:val="007A793B"/>
    <w:rsid w:val="007C59CC"/>
    <w:rsid w:val="007C5F2F"/>
    <w:rsid w:val="007E5944"/>
    <w:rsid w:val="00821ACE"/>
    <w:rsid w:val="00831717"/>
    <w:rsid w:val="008832B3"/>
    <w:rsid w:val="00890578"/>
    <w:rsid w:val="00897EE8"/>
    <w:rsid w:val="008D6D65"/>
    <w:rsid w:val="008F51CC"/>
    <w:rsid w:val="008F7636"/>
    <w:rsid w:val="0090417E"/>
    <w:rsid w:val="00931645"/>
    <w:rsid w:val="009333AA"/>
    <w:rsid w:val="009C2FC2"/>
    <w:rsid w:val="009E6214"/>
    <w:rsid w:val="009F3480"/>
    <w:rsid w:val="00A15843"/>
    <w:rsid w:val="00A57B9F"/>
    <w:rsid w:val="00A66C21"/>
    <w:rsid w:val="00AA00B2"/>
    <w:rsid w:val="00AA2795"/>
    <w:rsid w:val="00AA7743"/>
    <w:rsid w:val="00AC2058"/>
    <w:rsid w:val="00AE4F93"/>
    <w:rsid w:val="00B175B2"/>
    <w:rsid w:val="00B400E9"/>
    <w:rsid w:val="00B43ECE"/>
    <w:rsid w:val="00B56AFA"/>
    <w:rsid w:val="00B8053F"/>
    <w:rsid w:val="00B932A4"/>
    <w:rsid w:val="00B95931"/>
    <w:rsid w:val="00BB162C"/>
    <w:rsid w:val="00BB4B31"/>
    <w:rsid w:val="00BC0635"/>
    <w:rsid w:val="00BD63C0"/>
    <w:rsid w:val="00C32128"/>
    <w:rsid w:val="00C34D4E"/>
    <w:rsid w:val="00C537A3"/>
    <w:rsid w:val="00C604FB"/>
    <w:rsid w:val="00C6579D"/>
    <w:rsid w:val="00C7627F"/>
    <w:rsid w:val="00C86D92"/>
    <w:rsid w:val="00CA7A91"/>
    <w:rsid w:val="00CD6A0E"/>
    <w:rsid w:val="00D00B8E"/>
    <w:rsid w:val="00D07758"/>
    <w:rsid w:val="00D0794E"/>
    <w:rsid w:val="00D36A3C"/>
    <w:rsid w:val="00D5221D"/>
    <w:rsid w:val="00D53E95"/>
    <w:rsid w:val="00D6718A"/>
    <w:rsid w:val="00D7461D"/>
    <w:rsid w:val="00D84F32"/>
    <w:rsid w:val="00D87F26"/>
    <w:rsid w:val="00DA1E44"/>
    <w:rsid w:val="00DA62F5"/>
    <w:rsid w:val="00DC3B29"/>
    <w:rsid w:val="00DC6B22"/>
    <w:rsid w:val="00DC7225"/>
    <w:rsid w:val="00E425D0"/>
    <w:rsid w:val="00E46032"/>
    <w:rsid w:val="00E747D1"/>
    <w:rsid w:val="00E75560"/>
    <w:rsid w:val="00E7754F"/>
    <w:rsid w:val="00E943A8"/>
    <w:rsid w:val="00E95785"/>
    <w:rsid w:val="00EB4DA4"/>
    <w:rsid w:val="00EC61AB"/>
    <w:rsid w:val="00EC709C"/>
    <w:rsid w:val="00EC7CCC"/>
    <w:rsid w:val="00EE56DF"/>
    <w:rsid w:val="00F440EA"/>
    <w:rsid w:val="00F678D4"/>
    <w:rsid w:val="00F765CD"/>
    <w:rsid w:val="00FD49C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SubtleEmphasis">
    <w:name w:val="Subtle Emphasis"/>
    <w:basedOn w:val="DefaultParagraphFont"/>
    <w:uiPriority w:val="19"/>
    <w:qFormat/>
    <w:rsid w:val="00D079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cd.ie/assets/documents/calendar/part1_general_regulations_and_information.pdf" TargetMode="External"/><Relationship Id="rId4" Type="http://schemas.openxmlformats.org/officeDocument/2006/relationships/settings" Target="settings.xml"/><Relationship Id="rId9" Type="http://schemas.openxmlformats.org/officeDocument/2006/relationships/hyperlink" Target="http://www.accaglobal.com/ie/en/student/exam-support-resources/fundamentals-exams-study-resources/f5/technical-arti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6278-04C0-4200-B9BF-110296D2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Ranadeva Jayasekera</cp:lastModifiedBy>
  <cp:revision>5</cp:revision>
  <cp:lastPrinted>2021-02-03T12:55:00Z</cp:lastPrinted>
  <dcterms:created xsi:type="dcterms:W3CDTF">2026-02-16T13:06:00Z</dcterms:created>
  <dcterms:modified xsi:type="dcterms:W3CDTF">2026-06-24T21:28:00Z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