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1123C" w:rsidRDefault="00000000">
      <w:pPr>
        <w:jc w:val="both"/>
      </w:pPr>
      <w:r>
        <w:rPr>
          <w:noProof/>
        </w:rPr>
        <w:drawing>
          <wp:anchor distT="0" distB="0" distL="0" distR="0" simplePos="0" relativeHeight="251658240" behindDoc="1" locked="0" layoutInCell="1" hidden="0" allowOverlap="1" wp14:anchorId="370C6DA6" wp14:editId="72D75876">
            <wp:simplePos x="0" y="0"/>
            <wp:positionH relativeFrom="margin">
              <wp:posOffset>-4655819</wp:posOffset>
            </wp:positionH>
            <wp:positionV relativeFrom="margin">
              <wp:posOffset>-908684</wp:posOffset>
            </wp:positionV>
            <wp:extent cx="12500187" cy="7031355"/>
            <wp:effectExtent l="0" t="0" r="0" b="0"/>
            <wp:wrapNone/>
            <wp:docPr id="194295418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12500187" cy="7031355"/>
                    </a:xfrm>
                    <a:prstGeom prst="rect">
                      <a:avLst/>
                    </a:prstGeom>
                    <a:ln/>
                  </pic:spPr>
                </pic:pic>
              </a:graphicData>
            </a:graphic>
          </wp:anchor>
        </w:drawing>
      </w:r>
    </w:p>
    <w:tbl>
      <w:tblPr>
        <w:tblStyle w:val="a"/>
        <w:tblpPr w:leftFromText="180" w:rightFromText="180" w:vertAnchor="text"/>
        <w:tblW w:w="5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0"/>
      </w:tblGrid>
      <w:tr w:rsidR="0001123C" w14:paraId="21D6188C" w14:textId="77777777">
        <w:trPr>
          <w:trHeight w:val="1894"/>
        </w:trPr>
        <w:tc>
          <w:tcPr>
            <w:tcW w:w="5580" w:type="dxa"/>
            <w:tcBorders>
              <w:top w:val="nil"/>
              <w:left w:val="nil"/>
              <w:bottom w:val="nil"/>
              <w:right w:val="nil"/>
            </w:tcBorders>
          </w:tcPr>
          <w:p w14:paraId="00000002" w14:textId="77777777" w:rsidR="0001123C" w:rsidRDefault="00000000">
            <w:pPr>
              <w:jc w:val="both"/>
            </w:pPr>
            <w:r>
              <w:rPr>
                <w:noProof/>
              </w:rPr>
              <mc:AlternateContent>
                <mc:Choice Requires="wpg">
                  <w:drawing>
                    <wp:inline distT="0" distB="0" distL="0" distR="0" wp14:anchorId="4A699AEE" wp14:editId="5069843C">
                      <wp:extent cx="3528695" cy="1489261"/>
                      <wp:effectExtent l="0" t="0" r="0" b="0"/>
                      <wp:docPr id="1942954177" name="Group 1942954177"/>
                      <wp:cNvGraphicFramePr/>
                      <a:graphic xmlns:a="http://schemas.openxmlformats.org/drawingml/2006/main">
                        <a:graphicData uri="http://schemas.microsoft.com/office/word/2010/wordprocessingGroup">
                          <wpg:wgp>
                            <wpg:cNvGrpSpPr/>
                            <wpg:grpSpPr>
                              <a:xfrm>
                                <a:off x="0" y="0"/>
                                <a:ext cx="3528695" cy="1489261"/>
                                <a:chOff x="3581650" y="3043725"/>
                                <a:chExt cx="3528700" cy="1472550"/>
                              </a:xfrm>
                            </wpg:grpSpPr>
                            <wpg:grpSp>
                              <wpg:cNvPr id="406025747" name="Group 406025747"/>
                              <wpg:cNvGrpSpPr/>
                              <wpg:grpSpPr>
                                <a:xfrm>
                                  <a:off x="3581653" y="3043730"/>
                                  <a:ext cx="3528695" cy="1472540"/>
                                  <a:chOff x="0" y="0"/>
                                  <a:chExt cx="3528695" cy="1472540"/>
                                </a:xfrm>
                              </wpg:grpSpPr>
                              <wps:wsp>
                                <wps:cNvPr id="2087957387" name="Rectangle 2087957387"/>
                                <wps:cNvSpPr/>
                                <wps:spPr>
                                  <a:xfrm>
                                    <a:off x="0" y="0"/>
                                    <a:ext cx="3528675" cy="1472525"/>
                                  </a:xfrm>
                                  <a:prstGeom prst="rect">
                                    <a:avLst/>
                                  </a:prstGeom>
                                  <a:noFill/>
                                  <a:ln>
                                    <a:noFill/>
                                  </a:ln>
                                </wps:spPr>
                                <wps:txbx>
                                  <w:txbxContent>
                                    <w:p w14:paraId="77581B29" w14:textId="77777777" w:rsidR="0001123C" w:rsidRDefault="0001123C">
                                      <w:pPr>
                                        <w:textDirection w:val="btLr"/>
                                      </w:pPr>
                                    </w:p>
                                  </w:txbxContent>
                                </wps:txbx>
                                <wps:bodyPr spcFirstLastPara="1" wrap="square" lIns="91425" tIns="91425" rIns="91425" bIns="91425" anchor="ctr" anchorCtr="0">
                                  <a:noAutofit/>
                                </wps:bodyPr>
                              </wps:wsp>
                              <wps:wsp>
                                <wps:cNvPr id="2013207011" name="Rectangle 2013207011"/>
                                <wps:cNvSpPr/>
                                <wps:spPr>
                                  <a:xfrm>
                                    <a:off x="1642428" y="1021081"/>
                                    <a:ext cx="9525" cy="9525"/>
                                  </a:xfrm>
                                  <a:prstGeom prst="rect">
                                    <a:avLst/>
                                  </a:prstGeom>
                                  <a:solidFill>
                                    <a:schemeClr val="lt1"/>
                                  </a:solidFill>
                                  <a:ln w="9525" cap="flat" cmpd="sng">
                                    <a:solidFill>
                                      <a:srgbClr val="000000"/>
                                    </a:solidFill>
                                    <a:prstDash val="solid"/>
                                    <a:round/>
                                    <a:headEnd type="none" w="sm" len="sm"/>
                                    <a:tailEnd type="none" w="sm" len="sm"/>
                                  </a:ln>
                                </wps:spPr>
                                <wps:txbx>
                                  <w:txbxContent>
                                    <w:p w14:paraId="712A944A" w14:textId="77777777" w:rsidR="0001123C" w:rsidRDefault="0001123C">
                                      <w:pPr>
                                        <w:textDirection w:val="btLr"/>
                                      </w:pPr>
                                    </w:p>
                                  </w:txbxContent>
                                </wps:txbx>
                                <wps:bodyPr spcFirstLastPara="1" wrap="square" lIns="91425" tIns="91425" rIns="91425" bIns="91425" anchor="ctr" anchorCtr="0">
                                  <a:noAutofit/>
                                </wps:bodyPr>
                              </wps:wsp>
                              <wps:wsp>
                                <wps:cNvPr id="1926010813" name="Rectangle 1926010813"/>
                                <wps:cNvSpPr/>
                                <wps:spPr>
                                  <a:xfrm>
                                    <a:off x="0" y="0"/>
                                    <a:ext cx="3528695" cy="1472540"/>
                                  </a:xfrm>
                                  <a:prstGeom prst="rect">
                                    <a:avLst/>
                                  </a:prstGeom>
                                  <a:solidFill>
                                    <a:schemeClr val="accent2"/>
                                  </a:solidFill>
                                  <a:ln>
                                    <a:noFill/>
                                  </a:ln>
                                </wps:spPr>
                                <wps:txbx>
                                  <w:txbxContent>
                                    <w:p w14:paraId="01E9E93C" w14:textId="77777777" w:rsidR="0001123C" w:rsidRDefault="00000000">
                                      <w:pPr>
                                        <w:jc w:val="center"/>
                                        <w:textDirection w:val="btLr"/>
                                      </w:pPr>
                                      <w:r>
                                        <w:rPr>
                                          <w:color w:val="FFFFFF"/>
                                          <w:sz w:val="40"/>
                                        </w:rPr>
                                        <w:t>Symposium Report</w:t>
                                      </w:r>
                                    </w:p>
                                    <w:p w14:paraId="05A56291" w14:textId="77777777" w:rsidR="0001123C" w:rsidRDefault="00000000">
                                      <w:pPr>
                                        <w:textDirection w:val="btLr"/>
                                      </w:pPr>
                                      <w:r>
                                        <w:rPr>
                                          <w:color w:val="FFFFFF"/>
                                          <w:sz w:val="40"/>
                                        </w:rPr>
                                        <w:t xml:space="preserve"> </w:t>
                                      </w:r>
                                    </w:p>
                                    <w:p w14:paraId="34C2F7E5" w14:textId="314F1EF5" w:rsidR="0001123C" w:rsidRPr="00F46BF4" w:rsidRDefault="00000000">
                                      <w:pPr>
                                        <w:spacing w:before="6"/>
                                        <w:textDirection w:val="btLr"/>
                                        <w:rPr>
                                          <w:rFonts w:ascii="Bookman Old Style" w:eastAsia="Bookman Old Style" w:hAnsi="Bookman Old Style" w:cs="Bookman Old Style"/>
                                          <w:b/>
                                          <w:i/>
                                          <w:color w:val="4472C4"/>
                                          <w:sz w:val="18"/>
                                        </w:rPr>
                                      </w:pPr>
                                      <w:r>
                                        <w:rPr>
                                          <w:rFonts w:ascii="Bookman Old Style" w:eastAsia="Bookman Old Style" w:hAnsi="Bookman Old Style" w:cs="Bookman Old Style"/>
                                          <w:b/>
                                          <w:i/>
                                          <w:color w:val="4472C4"/>
                                          <w:sz w:val="18"/>
                                        </w:rPr>
                                        <w:t>International Litigation in Ireland – Comparative perspectives</w:t>
                                      </w:r>
                                    </w:p>
                                    <w:p w14:paraId="36ACE4E6" w14:textId="77777777" w:rsidR="0001123C" w:rsidRDefault="0001123C">
                                      <w:pPr>
                                        <w:jc w:val="center"/>
                                        <w:textDirection w:val="btLr"/>
                                      </w:pPr>
                                    </w:p>
                                  </w:txbxContent>
                                </wps:txbx>
                                <wps:bodyPr spcFirstLastPara="1" wrap="square" lIns="91425" tIns="45700" rIns="91425" bIns="45700" anchor="t" anchorCtr="0">
                                  <a:noAutofit/>
                                </wps:bodyPr>
                              </wps:wsp>
                            </wpg:grpSp>
                          </wpg:wgp>
                        </a:graphicData>
                      </a:graphic>
                    </wp:inline>
                  </w:drawing>
                </mc:Choice>
                <mc:Fallback>
                  <w:pict>
                    <v:group w14:anchorId="4A699AEE" id="Group 1942954177" o:spid="_x0000_s1026" style="width:277.85pt;height:117.25pt;mso-position-horizontal-relative:char;mso-position-vertical-relative:line" coordorigin="35816,30437" coordsize="35287,14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">
                      <v:group id="Group 406025747" o:spid="_x0000_s1027" style="position:absolute;left:35816;top:30437;width:35287;height:14725" coordsize="35286,14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">
                        <v:rect id="Rectangle 2087957387" o:spid="_x0000_s1028" style="position:absolute;width:35286;height:14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" filled="f" stroked="f">
                          <v:textbox inset="2.53958mm,2.53958mm,2.53958mm,2.53958mm">
                            <w:txbxContent>
                              <w:p w14:paraId="77581B29" w14:textId="77777777" w:rsidR="0001123C" w:rsidRDefault="0001123C">
                                <w:pPr>
                                  <w:textDirection w:val="btLr"/>
                                </w:pPr>
                              </w:p>
                            </w:txbxContent>
                          </v:textbox>
                        </v:rect>
                        <v:rect id="Rectangle 2013207011" o:spid="_x0000_s1029" style="position:absolute;left:16424;top:10210;width:95;height: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" fillcolor="white [3201]">
                          <v:stroke startarrowwidth="narrow" startarrowlength="short" endarrowwidth="narrow" endarrowlength="short" joinstyle="round"/>
                          <v:textbox inset="2.53958mm,2.53958mm,2.53958mm,2.53958mm">
                            <w:txbxContent>
                              <w:p w14:paraId="712A944A" w14:textId="77777777" w:rsidR="0001123C" w:rsidRDefault="0001123C">
                                <w:pPr>
                                  <w:textDirection w:val="btLr"/>
                                </w:pPr>
                              </w:p>
                            </w:txbxContent>
                          </v:textbox>
                        </v:rect>
                        <v:rect id="Rectangle 1926010813" o:spid="_x0000_s1030" style="position:absolute;width:35286;height:14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" fillcolor="#ed7d31 [3205]" stroked="f">
                          <v:textbox inset="2.53958mm,1.2694mm,2.53958mm,1.2694mm">
                            <w:txbxContent>
                              <w:p w14:paraId="01E9E93C" w14:textId="77777777" w:rsidR="0001123C" w:rsidRDefault="00000000">
                                <w:pPr>
                                  <w:jc w:val="center"/>
                                  <w:textDirection w:val="btLr"/>
                                </w:pPr>
                                <w:r>
                                  <w:rPr>
                                    <w:color w:val="FFFFFF"/>
                                    <w:sz w:val="40"/>
                                  </w:rPr>
                                  <w:t>Symposium Report</w:t>
                                </w:r>
                              </w:p>
                              <w:p w14:paraId="05A56291" w14:textId="77777777" w:rsidR="0001123C" w:rsidRDefault="00000000">
                                <w:pPr>
                                  <w:textDirection w:val="btLr"/>
                                </w:pPr>
                                <w:r>
                                  <w:rPr>
                                    <w:color w:val="FFFFFF"/>
                                    <w:sz w:val="40"/>
                                  </w:rPr>
                                  <w:t xml:space="preserve"> </w:t>
                                </w:r>
                              </w:p>
                              <w:p w14:paraId="34C2F7E5" w14:textId="314F1EF5" w:rsidR="0001123C" w:rsidRPr="00F46BF4" w:rsidRDefault="00000000">
                                <w:pPr>
                                  <w:spacing w:before="6"/>
                                  <w:textDirection w:val="btLr"/>
                                  <w:rPr>
                                    <w:rFonts w:ascii="Bookman Old Style" w:eastAsia="Bookman Old Style" w:hAnsi="Bookman Old Style" w:cs="Bookman Old Style"/>
                                    <w:b/>
                                    <w:i/>
                                    <w:color w:val="4472C4"/>
                                    <w:sz w:val="18"/>
                                  </w:rPr>
                                </w:pPr>
                                <w:r>
                                  <w:rPr>
                                    <w:rFonts w:ascii="Bookman Old Style" w:eastAsia="Bookman Old Style" w:hAnsi="Bookman Old Style" w:cs="Bookman Old Style"/>
                                    <w:b/>
                                    <w:i/>
                                    <w:color w:val="4472C4"/>
                                    <w:sz w:val="18"/>
                                  </w:rPr>
                                  <w:t>International Litigation in Ireland – Comparative perspectives</w:t>
                                </w:r>
                              </w:p>
                              <w:p w14:paraId="36ACE4E6" w14:textId="77777777" w:rsidR="0001123C" w:rsidRDefault="0001123C">
                                <w:pPr>
                                  <w:jc w:val="center"/>
                                  <w:textDirection w:val="btLr"/>
                                </w:pPr>
                              </w:p>
                            </w:txbxContent>
                          </v:textbox>
                        </v:rect>
                      </v:group>
                      <w10:anchorlock/>
                    </v:group>
                  </w:pict>
                </mc:Fallback>
              </mc:AlternateContent>
            </w:r>
          </w:p>
        </w:tc>
      </w:tr>
      <w:tr w:rsidR="0001123C" w14:paraId="2D786B82" w14:textId="77777777">
        <w:trPr>
          <w:trHeight w:val="7636"/>
        </w:trPr>
        <w:tc>
          <w:tcPr>
            <w:tcW w:w="5580" w:type="dxa"/>
            <w:tcBorders>
              <w:top w:val="nil"/>
              <w:left w:val="nil"/>
              <w:bottom w:val="nil"/>
              <w:right w:val="nil"/>
            </w:tcBorders>
          </w:tcPr>
          <w:p w14:paraId="00000003" w14:textId="77777777" w:rsidR="0001123C" w:rsidRDefault="0001123C">
            <w:pPr>
              <w:jc w:val="both"/>
            </w:pPr>
          </w:p>
          <w:p w14:paraId="00000004" w14:textId="77777777" w:rsidR="0001123C" w:rsidRDefault="00000000">
            <w:pPr>
              <w:jc w:val="both"/>
              <w:rPr>
                <w:color w:val="0569B9"/>
                <w:sz w:val="32"/>
                <w:szCs w:val="32"/>
              </w:rPr>
            </w:pPr>
            <w:r>
              <w:rPr>
                <w:color w:val="0569B9"/>
                <w:sz w:val="32"/>
                <w:szCs w:val="32"/>
              </w:rPr>
              <w:t xml:space="preserve">Transnational Commercial and Leasing Law Project </w:t>
            </w:r>
          </w:p>
          <w:p w14:paraId="00000005" w14:textId="77777777" w:rsidR="0001123C" w:rsidRDefault="0001123C">
            <w:pPr>
              <w:jc w:val="both"/>
              <w:rPr>
                <w:b/>
                <w:color w:val="0569B9"/>
                <w:sz w:val="32"/>
                <w:szCs w:val="32"/>
              </w:rPr>
            </w:pPr>
          </w:p>
          <w:p w14:paraId="00000006" w14:textId="77777777" w:rsidR="0001123C" w:rsidRDefault="0001123C">
            <w:pPr>
              <w:pStyle w:val="Title"/>
              <w:spacing w:after="0"/>
              <w:jc w:val="both"/>
              <w:rPr>
                <w:b w:val="0"/>
              </w:rPr>
            </w:pPr>
          </w:p>
        </w:tc>
      </w:tr>
      <w:tr w:rsidR="0001123C" w14:paraId="7FC119FD" w14:textId="77777777">
        <w:trPr>
          <w:trHeight w:val="2171"/>
        </w:trPr>
        <w:tc>
          <w:tcPr>
            <w:tcW w:w="5580" w:type="dxa"/>
            <w:tcBorders>
              <w:top w:val="nil"/>
              <w:left w:val="nil"/>
              <w:bottom w:val="nil"/>
              <w:right w:val="nil"/>
            </w:tcBorders>
          </w:tcPr>
          <w:p w14:paraId="00000007" w14:textId="77777777" w:rsidR="0001123C" w:rsidRDefault="00000000">
            <w:pPr>
              <w:jc w:val="both"/>
              <w:rPr>
                <w:color w:val="FFFFFF"/>
              </w:rPr>
            </w:pPr>
            <w:r>
              <w:rPr>
                <w:smallCaps/>
                <w:color w:val="44546A"/>
                <w:sz w:val="32"/>
                <w:szCs w:val="32"/>
              </w:rPr>
              <w:t xml:space="preserve"> </w:t>
            </w:r>
            <w:r>
              <w:rPr>
                <w:smallCaps/>
                <w:color w:val="FFFFFF"/>
                <w:sz w:val="32"/>
                <w:szCs w:val="32"/>
              </w:rPr>
              <w:t>JUNE 2025</w:t>
            </w:r>
          </w:p>
          <w:p w14:paraId="00000008" w14:textId="77777777" w:rsidR="0001123C" w:rsidRDefault="00000000">
            <w:pPr>
              <w:jc w:val="both"/>
              <w:rPr>
                <w:color w:val="FFFFFF"/>
                <w:sz w:val="10"/>
                <w:szCs w:val="10"/>
              </w:rPr>
            </w:pPr>
            <w:r>
              <w:rPr>
                <w:noProof/>
                <w:color w:val="FFFFFF"/>
                <w:sz w:val="10"/>
                <w:szCs w:val="10"/>
              </w:rPr>
              <mc:AlternateContent>
                <mc:Choice Requires="wps">
                  <w:drawing>
                    <wp:inline distT="0" distB="0" distL="0" distR="0" wp14:anchorId="7B02E196" wp14:editId="389537FF">
                      <wp:extent cx="0" cy="38100"/>
                      <wp:effectExtent l="0" t="0" r="0" b="0"/>
                      <wp:docPr id="1942954178" name="Straight Arrow Connector 1942954178" descr="text divider"/>
                      <wp:cNvGraphicFramePr/>
                      <a:graphic xmlns:a="http://schemas.openxmlformats.org/drawingml/2006/main">
                        <a:graphicData uri="http://schemas.microsoft.com/office/word/2010/wordprocessingShape">
                          <wps:wsp>
                            <wps:cNvCnPr/>
                            <wps:spPr>
                              <a:xfrm>
                                <a:off x="4599026" y="3780000"/>
                                <a:ext cx="1493949" cy="0"/>
                              </a:xfrm>
                              <a:prstGeom prst="straightConnector1">
                                <a:avLst/>
                              </a:prstGeom>
                              <a:noFill/>
                              <a:ln w="38100" cap="flat" cmpd="sng">
                                <a:solidFill>
                                  <a:schemeClr val="dk2"/>
                                </a:solidFill>
                                <a:prstDash val="solid"/>
                                <a:miter lim="800000"/>
                                <a:headEnd type="none" w="sm" len="sm"/>
                                <a:tailEnd type="none" w="sm" len="sm"/>
                              </a:ln>
                            </wps:spPr>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0" cy="38100"/>
                      <wp:effectExtent b="0" l="0" r="0" t="0"/>
                      <wp:docPr descr="text divider" id="1942954178" name="image7.png"/>
                      <a:graphic>
                        <a:graphicData uri="http://schemas.openxmlformats.org/drawingml/2006/picture">
                          <pic:pic>
                            <pic:nvPicPr>
                              <pic:cNvPr descr="text divider" id="0" name="image7.png"/>
                              <pic:cNvPicPr preferRelativeResize="0"/>
                            </pic:nvPicPr>
                            <pic:blipFill>
                              <a:blip r:embed="rId11"/>
                              <a:srcRect/>
                              <a:stretch>
                                <a:fillRect/>
                              </a:stretch>
                            </pic:blipFill>
                            <pic:spPr>
                              <a:xfrm>
                                <a:off x="0" y="0"/>
                                <a:ext cx="0" cy="38100"/>
                              </a:xfrm>
                              <a:prstGeom prst="rect"/>
                              <a:ln/>
                            </pic:spPr>
                          </pic:pic>
                        </a:graphicData>
                      </a:graphic>
                    </wp:inline>
                  </w:drawing>
                </mc:Fallback>
              </mc:AlternateContent>
            </w:r>
          </w:p>
          <w:p w14:paraId="00000009" w14:textId="77777777" w:rsidR="0001123C" w:rsidRDefault="0001123C">
            <w:pPr>
              <w:jc w:val="both"/>
              <w:rPr>
                <w:sz w:val="10"/>
                <w:szCs w:val="10"/>
              </w:rPr>
            </w:pPr>
          </w:p>
          <w:p w14:paraId="0000000A" w14:textId="77777777" w:rsidR="0001123C" w:rsidRDefault="0001123C">
            <w:pPr>
              <w:jc w:val="both"/>
              <w:rPr>
                <w:sz w:val="10"/>
                <w:szCs w:val="10"/>
              </w:rPr>
            </w:pPr>
          </w:p>
          <w:p w14:paraId="0000000B" w14:textId="77777777" w:rsidR="0001123C" w:rsidRDefault="00000000">
            <w:pPr>
              <w:jc w:val="both"/>
              <w:rPr>
                <w:b/>
                <w:color w:val="073763"/>
              </w:rPr>
            </w:pPr>
            <w:r>
              <w:rPr>
                <w:color w:val="073763"/>
                <w:sz w:val="22"/>
                <w:szCs w:val="22"/>
              </w:rPr>
              <w:t>Aviation Working Group acting through its Irish Contact Group: A&amp;L Goodbody, Arthur Cox, Mason Hayes Curran, Matheson, and McCann FitzGerald in association with Trinity College Dublin</w:t>
            </w:r>
          </w:p>
        </w:tc>
      </w:tr>
    </w:tbl>
    <w:p w14:paraId="0000000C" w14:textId="77777777" w:rsidR="0001123C" w:rsidRDefault="00000000">
      <w:pPr>
        <w:spacing w:after="200"/>
        <w:jc w:val="both"/>
        <w:rPr>
          <w:color w:val="FFF2CC"/>
        </w:rPr>
      </w:pPr>
      <w:r>
        <w:rPr>
          <w:noProof/>
        </w:rPr>
        <mc:AlternateContent>
          <mc:Choice Requires="wps">
            <w:drawing>
              <wp:anchor distT="0" distB="0" distL="0" distR="0" simplePos="0" relativeHeight="251659264" behindDoc="1" locked="0" layoutInCell="1" hidden="0" allowOverlap="1" wp14:anchorId="4F91F8E5" wp14:editId="2E063911">
                <wp:simplePos x="0" y="0"/>
                <wp:positionH relativeFrom="page">
                  <wp:align>left</wp:align>
                </wp:positionH>
                <wp:positionV relativeFrom="page">
                  <wp:align>bottom</wp:align>
                </wp:positionV>
                <wp:extent cx="7770495" cy="3383915"/>
                <wp:effectExtent l="0" t="0" r="0" b="0"/>
                <wp:wrapNone/>
                <wp:docPr id="1942954176" name="Rectangle 1942954176"/>
                <wp:cNvGraphicFramePr/>
                <a:graphic xmlns:a="http://schemas.openxmlformats.org/drawingml/2006/main">
                  <a:graphicData uri="http://schemas.microsoft.com/office/word/2010/wordprocessingShape">
                    <wps:wsp>
                      <wps:cNvSpPr/>
                      <wps:spPr>
                        <a:xfrm>
                          <a:off x="1465515" y="2092805"/>
                          <a:ext cx="7760970" cy="3374390"/>
                        </a:xfrm>
                        <a:prstGeom prst="rect">
                          <a:avLst/>
                        </a:prstGeom>
                        <a:solidFill>
                          <a:srgbClr val="0569B9"/>
                        </a:solidFill>
                        <a:ln>
                          <a:noFill/>
                        </a:ln>
                      </wps:spPr>
                      <wps:txbx>
                        <w:txbxContent>
                          <w:p w14:paraId="7FEC411B" w14:textId="77777777" w:rsidR="0001123C" w:rsidRDefault="0001123C">
                            <w:pPr>
                              <w:textDirection w:val="btLr"/>
                            </w:pPr>
                          </w:p>
                        </w:txbxContent>
                      </wps:txbx>
                      <wps:bodyPr spcFirstLastPara="1" wrap="square" lIns="91425" tIns="91425" rIns="91425" bIns="91425" anchor="ctr" anchorCtr="0">
                        <a:noAutofit/>
                      </wps:bodyPr>
                    </wps:wsp>
                  </a:graphicData>
                </a:graphic>
              </wp:anchor>
            </w:drawing>
          </mc:Choice>
          <mc:Fallback>
            <w:pict>
              <v:rect w14:anchorId="4F91F8E5" id="Rectangle 1942954176" o:spid="_x0000_s1031" style="position:absolute;left:0;text-align:left;margin-left:0;margin-top:0;width:611.85pt;height:266.45pt;z-index:-251657216;visibility:visible;mso-wrap-style:square;mso-wrap-distance-left:0;mso-wrap-distance-top:0;mso-wrap-distance-right:0;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" fillcolor="#0569b9" stroked="f">
                <v:textbox inset="2.53958mm,2.53958mm,2.53958mm,2.53958mm">
                  <w:txbxContent>
                    <w:p w14:paraId="7FEC411B" w14:textId="77777777" w:rsidR="0001123C" w:rsidRDefault="0001123C">
                      <w:pPr>
                        <w:textDirection w:val="btLr"/>
                      </w:pPr>
                    </w:p>
                  </w:txbxContent>
                </v:textbox>
                <w10:wrap anchorx="page" anchory="page"/>
              </v:rect>
            </w:pict>
          </mc:Fallback>
        </mc:AlternateContent>
      </w:r>
      <w:r>
        <w:br w:type="page"/>
      </w:r>
      <w:r>
        <w:rPr>
          <w:noProof/>
        </w:rPr>
        <mc:AlternateContent>
          <mc:Choice Requires="wps">
            <w:drawing>
              <wp:anchor distT="0" distB="0" distL="0" distR="0" simplePos="0" relativeHeight="251660288" behindDoc="1" locked="0" layoutInCell="1" hidden="0" allowOverlap="1" wp14:anchorId="3FC80CC7" wp14:editId="789F12B2">
                <wp:simplePos x="0" y="0"/>
                <wp:positionH relativeFrom="column">
                  <wp:posOffset>-203199</wp:posOffset>
                </wp:positionH>
                <wp:positionV relativeFrom="paragraph">
                  <wp:posOffset>889000</wp:posOffset>
                </wp:positionV>
                <wp:extent cx="3948430" cy="8277225"/>
                <wp:effectExtent l="0" t="0" r="0" b="0"/>
                <wp:wrapNone/>
                <wp:docPr id="1942954179" name="Rectangle 1942954179"/>
                <wp:cNvGraphicFramePr/>
                <a:graphic xmlns:a="http://schemas.openxmlformats.org/drawingml/2006/main">
                  <a:graphicData uri="http://schemas.microsoft.com/office/word/2010/wordprocessingShape">
                    <wps:wsp>
                      <wps:cNvSpPr/>
                      <wps:spPr>
                        <a:xfrm>
                          <a:off x="3376548" y="0"/>
                          <a:ext cx="3938905" cy="7560000"/>
                        </a:xfrm>
                        <a:prstGeom prst="rect">
                          <a:avLst/>
                        </a:prstGeom>
                        <a:solidFill>
                          <a:schemeClr val="lt1"/>
                        </a:solidFill>
                        <a:ln>
                          <a:noFill/>
                        </a:ln>
                      </wps:spPr>
                      <wps:txbx>
                        <w:txbxContent>
                          <w:p w14:paraId="75E346C3" w14:textId="77777777" w:rsidR="0001123C" w:rsidRDefault="0001123C">
                            <w:pPr>
                              <w:textDirection w:val="btLr"/>
                            </w:pPr>
                          </w:p>
                        </w:txbxContent>
                      </wps:txbx>
                      <wps:bodyPr spcFirstLastPara="1" wrap="square" lIns="91425" tIns="91425" rIns="91425" bIns="91425" anchor="ctr" anchorCtr="0">
                        <a:noAutofit/>
                      </wps:bodyPr>
                    </wps:wsp>
                  </a:graphicData>
                </a:graphic>
              </wp:anchor>
            </w:drawing>
          </mc:Choice>
          <mc:Fallback>
            <w:pict>
              <v:rect w14:anchorId="3FC80CC7" id="Rectangle 1942954179" o:spid="_x0000_s1032" style="position:absolute;left:0;text-align:left;margin-left:-16pt;margin-top:70pt;width:310.9pt;height:651.75pt;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" fillcolor="white [3201]" stroked="f">
                <v:textbox inset="2.53958mm,2.53958mm,2.53958mm,2.53958mm">
                  <w:txbxContent>
                    <w:p w14:paraId="75E346C3" w14:textId="77777777" w:rsidR="0001123C" w:rsidRDefault="0001123C">
                      <w:pPr>
                        <w:textDirection w:val="btLr"/>
                      </w:pPr>
                    </w:p>
                  </w:txbxContent>
                </v:textbox>
              </v:rect>
            </w:pict>
          </mc:Fallback>
        </mc:AlternateContent>
      </w:r>
      <w:r>
        <w:rPr>
          <w:noProof/>
        </w:rPr>
        <w:drawing>
          <wp:anchor distT="0" distB="0" distL="114300" distR="114300" simplePos="0" relativeHeight="251661312" behindDoc="0" locked="0" layoutInCell="1" hidden="0" allowOverlap="1" wp14:anchorId="099D1FCB" wp14:editId="6BD95C3A">
            <wp:simplePos x="0" y="0"/>
            <wp:positionH relativeFrom="column">
              <wp:posOffset>4199197</wp:posOffset>
            </wp:positionH>
            <wp:positionV relativeFrom="paragraph">
              <wp:posOffset>7079326</wp:posOffset>
            </wp:positionV>
            <wp:extent cx="2396490" cy="846455"/>
            <wp:effectExtent l="0" t="0" r="0" b="0"/>
            <wp:wrapSquare wrapText="bothSides" distT="0" distB="0" distL="114300" distR="114300"/>
            <wp:docPr id="19429541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396490" cy="846455"/>
                    </a:xfrm>
                    <a:prstGeom prst="rect">
                      <a:avLst/>
                    </a:prstGeom>
                    <a:ln/>
                  </pic:spPr>
                </pic:pic>
              </a:graphicData>
            </a:graphic>
          </wp:anchor>
        </w:drawing>
      </w:r>
    </w:p>
    <w:p w14:paraId="0000000E" w14:textId="77777777" w:rsidR="0001123C" w:rsidRPr="009310D6" w:rsidRDefault="0001123C">
      <w:pPr>
        <w:spacing w:after="200"/>
        <w:jc w:val="both"/>
        <w:rPr>
          <w:color w:val="448FCB"/>
          <w:sz w:val="22"/>
          <w:szCs w:val="22"/>
        </w:rPr>
      </w:pPr>
    </w:p>
    <w:p w14:paraId="0000000F" w14:textId="77777777" w:rsidR="0001123C" w:rsidRPr="0060648C" w:rsidRDefault="00000000" w:rsidP="0060648C">
      <w:pPr>
        <w:spacing w:line="276" w:lineRule="auto"/>
        <w:contextualSpacing/>
        <w:jc w:val="center"/>
        <w:rPr>
          <w:rFonts w:asciiTheme="minorHAnsi" w:eastAsia="Times New Roman" w:hAnsiTheme="minorHAnsi" w:cstheme="minorHAnsi"/>
          <w:b/>
          <w:color w:val="000000"/>
        </w:rPr>
      </w:pPr>
      <w:r w:rsidRPr="0060648C">
        <w:rPr>
          <w:rFonts w:asciiTheme="minorHAnsi" w:eastAsia="Times New Roman" w:hAnsiTheme="minorHAnsi" w:cstheme="minorHAnsi"/>
          <w:b/>
        </w:rPr>
        <w:t xml:space="preserve">Second </w:t>
      </w:r>
      <w:r w:rsidRPr="0060648C">
        <w:rPr>
          <w:rFonts w:asciiTheme="minorHAnsi" w:eastAsia="Times New Roman" w:hAnsiTheme="minorHAnsi" w:cstheme="minorHAnsi"/>
          <w:b/>
          <w:color w:val="000000"/>
        </w:rPr>
        <w:t>Symposium Summary</w:t>
      </w:r>
    </w:p>
    <w:p w14:paraId="00000010" w14:textId="77777777" w:rsidR="0001123C" w:rsidRPr="0060648C" w:rsidRDefault="00000000" w:rsidP="0060648C">
      <w:pPr>
        <w:spacing w:line="276" w:lineRule="auto"/>
        <w:contextualSpacing/>
        <w:jc w:val="center"/>
        <w:rPr>
          <w:rFonts w:asciiTheme="minorHAnsi" w:eastAsia="Times New Roman" w:hAnsiTheme="minorHAnsi" w:cstheme="minorHAnsi"/>
          <w:b/>
          <w:i/>
          <w:color w:val="000000"/>
        </w:rPr>
      </w:pPr>
      <w:r w:rsidRPr="0060648C">
        <w:rPr>
          <w:rFonts w:asciiTheme="minorHAnsi" w:eastAsia="Times New Roman" w:hAnsiTheme="minorHAnsi" w:cstheme="minorHAnsi"/>
          <w:b/>
          <w:i/>
          <w:color w:val="000000"/>
        </w:rPr>
        <w:t>International litigation in Ireland - Comparative perspectives</w:t>
      </w:r>
    </w:p>
    <w:p w14:paraId="00000011" w14:textId="77777777" w:rsidR="0001123C" w:rsidRPr="0060648C" w:rsidRDefault="0001123C" w:rsidP="0060648C">
      <w:pPr>
        <w:spacing w:line="276" w:lineRule="auto"/>
        <w:contextualSpacing/>
        <w:jc w:val="center"/>
        <w:rPr>
          <w:rFonts w:asciiTheme="minorHAnsi" w:eastAsia="Times New Roman" w:hAnsiTheme="minorHAnsi" w:cstheme="minorHAnsi"/>
          <w:b/>
          <w:i/>
          <w:color w:val="000000"/>
          <w:sz w:val="22"/>
          <w:szCs w:val="22"/>
        </w:rPr>
      </w:pPr>
    </w:p>
    <w:p w14:paraId="00000012" w14:textId="2CE1E230" w:rsidR="0001123C" w:rsidRPr="0060648C" w:rsidRDefault="00000000" w:rsidP="0060648C">
      <w:pPr>
        <w:spacing w:line="276" w:lineRule="auto"/>
        <w:contextualSpacing/>
        <w:jc w:val="both"/>
        <w:rPr>
          <w:rFonts w:asciiTheme="minorHAnsi" w:eastAsia="Times New Roman" w:hAnsiTheme="minorHAnsi" w:cstheme="minorHAnsi"/>
          <w:color w:val="000000"/>
          <w:sz w:val="22"/>
          <w:szCs w:val="22"/>
        </w:rPr>
      </w:pPr>
      <w:r w:rsidRPr="0060648C">
        <w:rPr>
          <w:rFonts w:asciiTheme="minorHAnsi" w:eastAsia="Times New Roman" w:hAnsiTheme="minorHAnsi" w:cstheme="minorHAnsi"/>
          <w:color w:val="000000"/>
          <w:sz w:val="22"/>
          <w:szCs w:val="22"/>
        </w:rPr>
        <w:t>Th</w:t>
      </w:r>
      <w:r w:rsidRPr="0060648C">
        <w:rPr>
          <w:rFonts w:asciiTheme="minorHAnsi" w:eastAsia="Times New Roman" w:hAnsiTheme="minorHAnsi" w:cstheme="minorHAnsi"/>
          <w:sz w:val="22"/>
          <w:szCs w:val="22"/>
        </w:rPr>
        <w:t>e</w:t>
      </w:r>
      <w:r w:rsidRPr="0060648C">
        <w:rPr>
          <w:rFonts w:asciiTheme="minorHAnsi" w:eastAsia="Times New Roman" w:hAnsiTheme="minorHAnsi" w:cstheme="minorHAnsi"/>
          <w:color w:val="000000"/>
          <w:sz w:val="22"/>
          <w:szCs w:val="22"/>
        </w:rPr>
        <w:t xml:space="preserve"> event was hosted on</w:t>
      </w:r>
      <w:r w:rsidR="00EB637D" w:rsidRPr="0060648C">
        <w:rPr>
          <w:rFonts w:asciiTheme="minorHAnsi" w:eastAsia="Times New Roman" w:hAnsiTheme="minorHAnsi" w:cstheme="minorHAnsi"/>
          <w:color w:val="000000"/>
          <w:sz w:val="22"/>
          <w:szCs w:val="22"/>
        </w:rPr>
        <w:t xml:space="preserve"> </w:t>
      </w:r>
      <w:r w:rsidRPr="0060648C">
        <w:rPr>
          <w:rFonts w:asciiTheme="minorHAnsi" w:eastAsia="Times New Roman" w:hAnsiTheme="minorHAnsi" w:cstheme="minorHAnsi"/>
          <w:color w:val="000000"/>
          <w:sz w:val="22"/>
          <w:szCs w:val="22"/>
        </w:rPr>
        <w:t>June</w:t>
      </w:r>
      <w:r w:rsidRPr="0060648C">
        <w:rPr>
          <w:rFonts w:asciiTheme="minorHAnsi" w:eastAsia="Times New Roman" w:hAnsiTheme="minorHAnsi" w:cstheme="minorHAnsi"/>
          <w:b/>
          <w:color w:val="000000"/>
          <w:sz w:val="22"/>
          <w:szCs w:val="22"/>
        </w:rPr>
        <w:t xml:space="preserve"> </w:t>
      </w:r>
      <w:r w:rsidR="00EB637D" w:rsidRPr="0060648C">
        <w:rPr>
          <w:rFonts w:asciiTheme="minorHAnsi" w:eastAsia="Times New Roman" w:hAnsiTheme="minorHAnsi" w:cstheme="minorHAnsi"/>
          <w:bCs/>
          <w:color w:val="000000"/>
          <w:sz w:val="22"/>
          <w:szCs w:val="22"/>
        </w:rPr>
        <w:t>25,</w:t>
      </w:r>
      <w:r w:rsidR="00EB637D" w:rsidRPr="0060648C">
        <w:rPr>
          <w:rFonts w:asciiTheme="minorHAnsi" w:eastAsia="Times New Roman" w:hAnsiTheme="minorHAnsi" w:cstheme="minorHAnsi"/>
          <w:b/>
          <w:color w:val="000000"/>
          <w:sz w:val="22"/>
          <w:szCs w:val="22"/>
        </w:rPr>
        <w:t xml:space="preserve"> </w:t>
      </w:r>
      <w:r w:rsidRPr="0060648C">
        <w:rPr>
          <w:rFonts w:asciiTheme="minorHAnsi" w:eastAsia="Times New Roman" w:hAnsiTheme="minorHAnsi" w:cstheme="minorHAnsi"/>
          <w:color w:val="000000"/>
          <w:sz w:val="22"/>
          <w:szCs w:val="22"/>
        </w:rPr>
        <w:t>2025</w:t>
      </w:r>
      <w:r w:rsidR="00EB637D" w:rsidRPr="0060648C">
        <w:rPr>
          <w:rFonts w:asciiTheme="minorHAnsi" w:eastAsia="Times New Roman" w:hAnsiTheme="minorHAnsi" w:cstheme="minorHAnsi"/>
          <w:color w:val="000000"/>
          <w:sz w:val="22"/>
          <w:szCs w:val="22"/>
        </w:rPr>
        <w:t>,</w:t>
      </w:r>
      <w:r w:rsidRPr="0060648C">
        <w:rPr>
          <w:rFonts w:asciiTheme="minorHAnsi" w:eastAsia="Times New Roman" w:hAnsiTheme="minorHAnsi" w:cstheme="minorHAnsi"/>
          <w:b/>
          <w:color w:val="000000"/>
          <w:sz w:val="22"/>
          <w:szCs w:val="22"/>
        </w:rPr>
        <w:t xml:space="preserve"> </w:t>
      </w:r>
      <w:r w:rsidRPr="0060648C">
        <w:rPr>
          <w:rFonts w:asciiTheme="minorHAnsi" w:eastAsia="Times New Roman" w:hAnsiTheme="minorHAnsi" w:cstheme="minorHAnsi"/>
          <w:color w:val="000000"/>
          <w:sz w:val="22"/>
          <w:szCs w:val="22"/>
        </w:rPr>
        <w:t>by</w:t>
      </w:r>
      <w:r w:rsidRPr="0060648C">
        <w:rPr>
          <w:rFonts w:asciiTheme="minorHAnsi" w:eastAsia="Times New Roman" w:hAnsiTheme="minorHAnsi" w:cstheme="minorHAnsi"/>
          <w:b/>
          <w:i/>
          <w:color w:val="000000"/>
          <w:sz w:val="22"/>
          <w:szCs w:val="22"/>
        </w:rPr>
        <w:t xml:space="preserve"> </w:t>
      </w:r>
      <w:r w:rsidRPr="0060648C">
        <w:rPr>
          <w:rFonts w:asciiTheme="minorHAnsi" w:eastAsia="Times New Roman" w:hAnsiTheme="minorHAnsi" w:cstheme="minorHAnsi"/>
          <w:i/>
          <w:color w:val="000000"/>
          <w:sz w:val="22"/>
          <w:szCs w:val="22"/>
        </w:rPr>
        <w:t>Arthur Cox LLP.</w:t>
      </w:r>
      <w:r w:rsidRPr="0060648C">
        <w:rPr>
          <w:rFonts w:asciiTheme="minorHAnsi" w:eastAsia="Times New Roman" w:hAnsiTheme="minorHAnsi" w:cstheme="minorHAnsi"/>
          <w:color w:val="000000"/>
          <w:sz w:val="22"/>
          <w:szCs w:val="22"/>
        </w:rPr>
        <w:t xml:space="preserve"> The </w:t>
      </w:r>
      <w:r w:rsidR="00EB637D" w:rsidRPr="0060648C">
        <w:rPr>
          <w:rFonts w:asciiTheme="minorHAnsi" w:eastAsia="Times New Roman" w:hAnsiTheme="minorHAnsi" w:cstheme="minorHAnsi"/>
          <w:color w:val="000000"/>
          <w:sz w:val="22"/>
          <w:szCs w:val="22"/>
        </w:rPr>
        <w:t>S</w:t>
      </w:r>
      <w:r w:rsidRPr="0060648C">
        <w:rPr>
          <w:rFonts w:asciiTheme="minorHAnsi" w:eastAsia="Times New Roman" w:hAnsiTheme="minorHAnsi" w:cstheme="minorHAnsi"/>
          <w:color w:val="000000"/>
          <w:sz w:val="22"/>
          <w:szCs w:val="22"/>
        </w:rPr>
        <w:t xml:space="preserve">ymposium focused on the following </w:t>
      </w:r>
      <w:r w:rsidRPr="0060648C">
        <w:rPr>
          <w:rFonts w:asciiTheme="minorHAnsi" w:eastAsia="Times New Roman" w:hAnsiTheme="minorHAnsi" w:cstheme="minorHAnsi"/>
          <w:sz w:val="22"/>
          <w:szCs w:val="22"/>
        </w:rPr>
        <w:t xml:space="preserve">issues: </w:t>
      </w:r>
    </w:p>
    <w:p w14:paraId="00000013" w14:textId="77777777" w:rsidR="0001123C" w:rsidRPr="0060648C" w:rsidRDefault="0001123C" w:rsidP="0060648C">
      <w:pPr>
        <w:spacing w:line="276" w:lineRule="auto"/>
        <w:contextualSpacing/>
        <w:jc w:val="both"/>
        <w:rPr>
          <w:rFonts w:asciiTheme="minorHAnsi" w:eastAsia="Times New Roman" w:hAnsiTheme="minorHAnsi" w:cstheme="minorHAnsi"/>
          <w:color w:val="000000"/>
          <w:sz w:val="22"/>
          <w:szCs w:val="22"/>
        </w:rPr>
      </w:pPr>
    </w:p>
    <w:p w14:paraId="00000014" w14:textId="77777777" w:rsidR="0001123C" w:rsidRPr="0060648C" w:rsidRDefault="00000000" w:rsidP="0060648C">
      <w:pPr>
        <w:numPr>
          <w:ilvl w:val="0"/>
          <w:numId w:val="1"/>
        </w:numPr>
        <w:pBdr>
          <w:top w:val="nil"/>
          <w:left w:val="nil"/>
          <w:bottom w:val="nil"/>
          <w:right w:val="nil"/>
          <w:between w:val="nil"/>
        </w:pBdr>
        <w:spacing w:line="276" w:lineRule="auto"/>
        <w:contextualSpacing/>
        <w:jc w:val="both"/>
        <w:rPr>
          <w:rFonts w:asciiTheme="minorHAnsi" w:eastAsia="Times New Roman" w:hAnsiTheme="minorHAnsi" w:cstheme="minorHAnsi"/>
          <w:color w:val="000000"/>
          <w:sz w:val="22"/>
          <w:szCs w:val="22"/>
        </w:rPr>
      </w:pPr>
      <w:r w:rsidRPr="0060648C">
        <w:rPr>
          <w:rFonts w:asciiTheme="minorHAnsi" w:eastAsia="Times New Roman" w:hAnsiTheme="minorHAnsi" w:cstheme="minorHAnsi"/>
          <w:color w:val="000000"/>
          <w:sz w:val="22"/>
          <w:szCs w:val="22"/>
        </w:rPr>
        <w:t xml:space="preserve">The public availability of pleadings and submissions (lack of public dockets) </w:t>
      </w:r>
    </w:p>
    <w:p w14:paraId="00000015" w14:textId="77777777" w:rsidR="0001123C" w:rsidRPr="0060648C" w:rsidRDefault="00000000" w:rsidP="0060648C">
      <w:pPr>
        <w:numPr>
          <w:ilvl w:val="0"/>
          <w:numId w:val="1"/>
        </w:numPr>
        <w:pBdr>
          <w:top w:val="nil"/>
          <w:left w:val="nil"/>
          <w:bottom w:val="nil"/>
          <w:right w:val="nil"/>
          <w:between w:val="nil"/>
        </w:pBdr>
        <w:spacing w:line="276" w:lineRule="auto"/>
        <w:contextualSpacing/>
        <w:jc w:val="both"/>
        <w:rPr>
          <w:rFonts w:asciiTheme="minorHAnsi" w:eastAsia="Times New Roman" w:hAnsiTheme="minorHAnsi" w:cstheme="minorHAnsi"/>
          <w:color w:val="000000"/>
          <w:sz w:val="22"/>
          <w:szCs w:val="22"/>
        </w:rPr>
      </w:pPr>
      <w:r w:rsidRPr="0060648C">
        <w:rPr>
          <w:rFonts w:asciiTheme="minorHAnsi" w:eastAsia="Times New Roman" w:hAnsiTheme="minorHAnsi" w:cstheme="minorHAnsi"/>
          <w:sz w:val="22"/>
          <w:szCs w:val="22"/>
        </w:rPr>
        <w:t>Right to assign a cause of action</w:t>
      </w:r>
    </w:p>
    <w:p w14:paraId="00000016" w14:textId="77777777" w:rsidR="0001123C" w:rsidRPr="0060648C" w:rsidRDefault="00000000" w:rsidP="0060648C">
      <w:pPr>
        <w:numPr>
          <w:ilvl w:val="0"/>
          <w:numId w:val="1"/>
        </w:num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Litigation funding</w:t>
      </w:r>
    </w:p>
    <w:p w14:paraId="00000017" w14:textId="3638210B" w:rsidR="0001123C" w:rsidRPr="0060648C" w:rsidRDefault="00000000" w:rsidP="0060648C">
      <w:pPr>
        <w:numPr>
          <w:ilvl w:val="0"/>
          <w:numId w:val="1"/>
        </w:num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Recognition and enforcement of judgments</w:t>
      </w:r>
    </w:p>
    <w:p w14:paraId="00000018" w14:textId="77777777" w:rsidR="0001123C" w:rsidRPr="0060648C" w:rsidRDefault="0001123C" w:rsidP="0060648C">
      <w:pPr>
        <w:pBdr>
          <w:top w:val="nil"/>
          <w:left w:val="nil"/>
          <w:bottom w:val="nil"/>
          <w:right w:val="nil"/>
          <w:between w:val="nil"/>
        </w:pBdr>
        <w:spacing w:line="276" w:lineRule="auto"/>
        <w:ind w:left="720"/>
        <w:contextualSpacing/>
        <w:jc w:val="both"/>
        <w:rPr>
          <w:rFonts w:asciiTheme="minorHAnsi" w:eastAsia="Times New Roman" w:hAnsiTheme="minorHAnsi" w:cstheme="minorHAnsi"/>
          <w:b/>
          <w:i/>
          <w:color w:val="4472C4"/>
          <w:sz w:val="22"/>
          <w:szCs w:val="22"/>
        </w:rPr>
      </w:pPr>
    </w:p>
    <w:p w14:paraId="0000001A" w14:textId="4277E242" w:rsidR="0001123C" w:rsidRPr="0060648C" w:rsidRDefault="00000000" w:rsidP="0060648C">
      <w:pPr>
        <w:spacing w:line="276" w:lineRule="auto"/>
        <w:contextualSpacing/>
        <w:jc w:val="both"/>
        <w:rPr>
          <w:rFonts w:asciiTheme="minorHAnsi" w:eastAsia="Times New Roman" w:hAnsiTheme="minorHAnsi" w:cstheme="minorHAnsi"/>
          <w:b/>
          <w:sz w:val="22"/>
          <w:szCs w:val="22"/>
        </w:rPr>
      </w:pPr>
      <w:r w:rsidRPr="0060648C">
        <w:rPr>
          <w:rFonts w:asciiTheme="minorHAnsi" w:eastAsia="Times New Roman" w:hAnsiTheme="minorHAnsi" w:cstheme="minorHAnsi"/>
          <w:sz w:val="22"/>
          <w:szCs w:val="22"/>
        </w:rPr>
        <w:t xml:space="preserve">Each of the issues was analysed from a comparative perspective. The speakers first identified common problems faced by each jurisdiction and then looked at the approaches adopted in Ireland, England and Wales, and New York. In </w:t>
      </w:r>
      <w:r w:rsidR="00EB637D" w:rsidRPr="0060648C">
        <w:rPr>
          <w:rFonts w:asciiTheme="minorHAnsi" w:eastAsia="Times New Roman" w:hAnsiTheme="minorHAnsi" w:cstheme="minorHAnsi"/>
          <w:sz w:val="22"/>
          <w:szCs w:val="22"/>
        </w:rPr>
        <w:t>considering</w:t>
      </w:r>
      <w:r w:rsidRPr="0060648C">
        <w:rPr>
          <w:rFonts w:asciiTheme="minorHAnsi" w:eastAsia="Times New Roman" w:hAnsiTheme="minorHAnsi" w:cstheme="minorHAnsi"/>
          <w:sz w:val="22"/>
          <w:szCs w:val="22"/>
        </w:rPr>
        <w:t xml:space="preserve"> the advantages and disadvantages of these solutions, the symposium hoped to find the best practices and issue recommendations for </w:t>
      </w:r>
      <w:r w:rsidR="00EB637D" w:rsidRPr="0060648C">
        <w:rPr>
          <w:rFonts w:asciiTheme="minorHAnsi" w:eastAsia="Times New Roman" w:hAnsiTheme="minorHAnsi" w:cstheme="minorHAnsi"/>
          <w:sz w:val="22"/>
          <w:szCs w:val="22"/>
        </w:rPr>
        <w:t xml:space="preserve">enhancing the </w:t>
      </w:r>
      <w:r w:rsidRPr="0060648C">
        <w:rPr>
          <w:rFonts w:asciiTheme="minorHAnsi" w:eastAsia="Times New Roman" w:hAnsiTheme="minorHAnsi" w:cstheme="minorHAnsi"/>
          <w:sz w:val="22"/>
          <w:szCs w:val="22"/>
        </w:rPr>
        <w:t>Irish litigation system</w:t>
      </w:r>
      <w:r w:rsidR="00EB637D" w:rsidRPr="0060648C">
        <w:rPr>
          <w:rFonts w:asciiTheme="minorHAnsi" w:eastAsia="Times New Roman" w:hAnsiTheme="minorHAnsi" w:cstheme="minorHAnsi"/>
          <w:sz w:val="22"/>
          <w:szCs w:val="22"/>
        </w:rPr>
        <w:t>.</w:t>
      </w:r>
    </w:p>
    <w:p w14:paraId="0000001B" w14:textId="77777777" w:rsidR="0001123C" w:rsidRPr="0060648C" w:rsidRDefault="0001123C" w:rsidP="0060648C">
      <w:pPr>
        <w:spacing w:line="276" w:lineRule="auto"/>
        <w:contextualSpacing/>
        <w:jc w:val="both"/>
        <w:rPr>
          <w:rFonts w:asciiTheme="minorHAnsi" w:eastAsia="Times New Roman" w:hAnsiTheme="minorHAnsi" w:cstheme="minorHAnsi"/>
          <w:b/>
          <w:sz w:val="22"/>
          <w:szCs w:val="22"/>
        </w:rPr>
      </w:pPr>
    </w:p>
    <w:p w14:paraId="0000001C" w14:textId="41B6AC8C" w:rsidR="0001123C" w:rsidRPr="0060648C" w:rsidRDefault="00000000" w:rsidP="0060648C">
      <w:pPr>
        <w:spacing w:line="276" w:lineRule="auto"/>
        <w:contextualSpacing/>
        <w:jc w:val="both"/>
        <w:rPr>
          <w:rFonts w:asciiTheme="minorHAnsi" w:eastAsia="Times New Roman" w:hAnsiTheme="minorHAnsi" w:cstheme="minorHAnsi"/>
          <w:b/>
          <w:sz w:val="22"/>
          <w:szCs w:val="22"/>
        </w:rPr>
      </w:pPr>
      <w:r w:rsidRPr="0060648C">
        <w:rPr>
          <w:rFonts w:asciiTheme="minorHAnsi" w:eastAsia="Times New Roman" w:hAnsiTheme="minorHAnsi" w:cstheme="minorHAnsi"/>
          <w:b/>
          <w:sz w:val="22"/>
          <w:szCs w:val="22"/>
        </w:rPr>
        <w:t xml:space="preserve">14.00 – 14.05: Welcoming words from Arthur Cox, and introduction of </w:t>
      </w:r>
      <w:r w:rsidR="00EB637D" w:rsidRPr="0060648C">
        <w:rPr>
          <w:rFonts w:asciiTheme="minorHAnsi" w:eastAsia="Times New Roman" w:hAnsiTheme="minorHAnsi" w:cstheme="minorHAnsi"/>
          <w:b/>
          <w:sz w:val="22"/>
          <w:szCs w:val="22"/>
        </w:rPr>
        <w:t xml:space="preserve">the </w:t>
      </w:r>
      <w:r w:rsidRPr="0060648C">
        <w:rPr>
          <w:rFonts w:asciiTheme="minorHAnsi" w:eastAsia="Times New Roman" w:hAnsiTheme="minorHAnsi" w:cstheme="minorHAnsi"/>
          <w:b/>
          <w:sz w:val="22"/>
          <w:szCs w:val="22"/>
        </w:rPr>
        <w:t>opening speaker </w:t>
      </w:r>
    </w:p>
    <w:p w14:paraId="0000001D" w14:textId="77777777" w:rsidR="0001123C" w:rsidRPr="0060648C" w:rsidRDefault="0001123C" w:rsidP="0060648C">
      <w:pPr>
        <w:spacing w:line="276" w:lineRule="auto"/>
        <w:contextualSpacing/>
        <w:jc w:val="both"/>
        <w:rPr>
          <w:rFonts w:asciiTheme="minorHAnsi" w:eastAsia="Times New Roman" w:hAnsiTheme="minorHAnsi" w:cstheme="minorHAnsi"/>
          <w:b/>
          <w:sz w:val="22"/>
          <w:szCs w:val="22"/>
        </w:rPr>
      </w:pPr>
    </w:p>
    <w:p w14:paraId="00000020" w14:textId="0285D194" w:rsidR="0001123C" w:rsidRPr="0060648C" w:rsidRDefault="00000000" w:rsidP="0060648C">
      <w:pPr>
        <w:shd w:val="clear" w:color="auto" w:fill="FFFFFF"/>
        <w:spacing w:line="276" w:lineRule="auto"/>
        <w:contextualSpacing/>
        <w:jc w:val="both"/>
        <w:rPr>
          <w:rFonts w:asciiTheme="minorHAnsi" w:eastAsia="Times New Roman" w:hAnsiTheme="minorHAnsi" w:cstheme="minorHAnsi"/>
          <w:color w:val="222222"/>
          <w:sz w:val="22"/>
          <w:szCs w:val="22"/>
        </w:rPr>
      </w:pPr>
      <w:r w:rsidRPr="0060648C">
        <w:rPr>
          <w:rFonts w:asciiTheme="minorHAnsi" w:eastAsia="Times New Roman" w:hAnsiTheme="minorHAnsi" w:cstheme="minorHAnsi"/>
          <w:b/>
          <w:color w:val="222222"/>
          <w:sz w:val="22"/>
          <w:szCs w:val="22"/>
        </w:rPr>
        <w:t>Ms. Ruth Lillis</w:t>
      </w:r>
      <w:r w:rsidRPr="0060648C">
        <w:rPr>
          <w:rFonts w:asciiTheme="minorHAnsi" w:eastAsia="Times New Roman" w:hAnsiTheme="minorHAnsi" w:cstheme="minorHAnsi"/>
          <w:color w:val="222222"/>
          <w:sz w:val="22"/>
          <w:szCs w:val="22"/>
        </w:rPr>
        <w:t xml:space="preserve">, partner at </w:t>
      </w:r>
      <w:r w:rsidRPr="006D3801">
        <w:rPr>
          <w:rFonts w:asciiTheme="minorHAnsi" w:eastAsia="Times New Roman" w:hAnsiTheme="minorHAnsi" w:cstheme="minorHAnsi"/>
          <w:i/>
          <w:iCs/>
          <w:color w:val="222222"/>
          <w:sz w:val="22"/>
          <w:szCs w:val="22"/>
        </w:rPr>
        <w:t>Arthur Cox LLP</w:t>
      </w:r>
      <w:r w:rsidRPr="0060648C">
        <w:rPr>
          <w:rFonts w:asciiTheme="minorHAnsi" w:eastAsia="Times New Roman" w:hAnsiTheme="minorHAnsi" w:cstheme="minorHAnsi"/>
          <w:color w:val="222222"/>
          <w:sz w:val="22"/>
          <w:szCs w:val="22"/>
        </w:rPr>
        <w:t>, started by welcoming all guests and acknowledging the importance of the symposium.</w:t>
      </w:r>
      <w:r w:rsidR="00EB637D" w:rsidRPr="0060648C">
        <w:rPr>
          <w:rFonts w:asciiTheme="minorHAnsi" w:eastAsia="Times New Roman" w:hAnsiTheme="minorHAnsi" w:cstheme="minorHAnsi"/>
          <w:color w:val="222222"/>
          <w:sz w:val="22"/>
          <w:szCs w:val="22"/>
        </w:rPr>
        <w:t xml:space="preserve"> </w:t>
      </w:r>
      <w:r w:rsidRPr="0060648C">
        <w:rPr>
          <w:rFonts w:asciiTheme="minorHAnsi" w:eastAsia="Times New Roman" w:hAnsiTheme="minorHAnsi" w:cstheme="minorHAnsi"/>
          <w:sz w:val="22"/>
          <w:szCs w:val="22"/>
        </w:rPr>
        <w:t xml:space="preserve">After the welcoming words, the </w:t>
      </w:r>
      <w:r w:rsidRPr="0060648C">
        <w:rPr>
          <w:rFonts w:asciiTheme="minorHAnsi" w:eastAsia="Times New Roman" w:hAnsiTheme="minorHAnsi" w:cstheme="minorHAnsi"/>
          <w:sz w:val="22"/>
          <w:szCs w:val="22"/>
          <w:highlight w:val="white"/>
        </w:rPr>
        <w:t>Attorney General of Ireland</w:t>
      </w:r>
      <w:r w:rsidRPr="0060648C">
        <w:rPr>
          <w:rFonts w:asciiTheme="minorHAnsi" w:eastAsia="Times New Roman" w:hAnsiTheme="minorHAnsi" w:cstheme="minorHAnsi"/>
          <w:sz w:val="22"/>
          <w:szCs w:val="22"/>
        </w:rPr>
        <w:t xml:space="preserve">, </w:t>
      </w:r>
      <w:r w:rsidRPr="0060648C">
        <w:rPr>
          <w:rFonts w:asciiTheme="minorHAnsi" w:eastAsia="Times New Roman" w:hAnsiTheme="minorHAnsi" w:cstheme="minorHAnsi"/>
          <w:b/>
          <w:sz w:val="22"/>
          <w:szCs w:val="22"/>
        </w:rPr>
        <w:t>Mr. Rossa Fanning</w:t>
      </w:r>
      <w:r w:rsidRPr="0060648C">
        <w:rPr>
          <w:rFonts w:asciiTheme="minorHAnsi" w:eastAsia="Times New Roman" w:hAnsiTheme="minorHAnsi" w:cstheme="minorHAnsi"/>
          <w:sz w:val="22"/>
          <w:szCs w:val="22"/>
        </w:rPr>
        <w:t>, began his intervention by stating that t</w:t>
      </w:r>
      <w:r w:rsidRPr="0060648C">
        <w:rPr>
          <w:rFonts w:asciiTheme="minorHAnsi" w:eastAsia="Times New Roman" w:hAnsiTheme="minorHAnsi" w:cstheme="minorHAnsi"/>
          <w:color w:val="000000"/>
          <w:sz w:val="22"/>
          <w:szCs w:val="22"/>
        </w:rPr>
        <w:t>he Irish economy could be affected by headwinds</w:t>
      </w:r>
      <w:r w:rsidRPr="0060648C">
        <w:rPr>
          <w:rFonts w:asciiTheme="minorHAnsi" w:eastAsia="Times New Roman" w:hAnsiTheme="minorHAnsi" w:cstheme="minorHAnsi"/>
          <w:sz w:val="22"/>
          <w:szCs w:val="22"/>
        </w:rPr>
        <w:t xml:space="preserve"> that eventually could impact </w:t>
      </w:r>
      <w:r w:rsidRPr="0060648C">
        <w:rPr>
          <w:rFonts w:asciiTheme="minorHAnsi" w:eastAsia="Times New Roman" w:hAnsiTheme="minorHAnsi" w:cstheme="minorHAnsi"/>
          <w:color w:val="000000"/>
          <w:sz w:val="22"/>
          <w:szCs w:val="22"/>
        </w:rPr>
        <w:t>the multinational sector.</w:t>
      </w:r>
    </w:p>
    <w:p w14:paraId="00000021" w14:textId="77777777" w:rsidR="0001123C" w:rsidRPr="0060648C" w:rsidRDefault="0001123C" w:rsidP="0060648C">
      <w:pPr>
        <w:spacing w:line="276" w:lineRule="auto"/>
        <w:contextualSpacing/>
        <w:jc w:val="both"/>
        <w:rPr>
          <w:rFonts w:asciiTheme="minorHAnsi" w:eastAsia="Times New Roman" w:hAnsiTheme="minorHAnsi" w:cstheme="minorHAnsi"/>
          <w:color w:val="000000"/>
          <w:sz w:val="22"/>
          <w:szCs w:val="22"/>
        </w:rPr>
      </w:pPr>
    </w:p>
    <w:p w14:paraId="00000024" w14:textId="561742FA" w:rsidR="0001123C" w:rsidRPr="0060648C" w:rsidRDefault="00000000" w:rsidP="0060648C">
      <w:pPr>
        <w:spacing w:line="276" w:lineRule="auto"/>
        <w:contextualSpacing/>
        <w:jc w:val="both"/>
        <w:rPr>
          <w:rFonts w:asciiTheme="minorHAnsi" w:eastAsia="Times New Roman" w:hAnsiTheme="minorHAnsi" w:cstheme="minorHAnsi"/>
          <w:color w:val="000000"/>
          <w:sz w:val="22"/>
          <w:szCs w:val="22"/>
        </w:rPr>
      </w:pPr>
      <w:r w:rsidRPr="0060648C">
        <w:rPr>
          <w:rFonts w:asciiTheme="minorHAnsi" w:eastAsia="Times New Roman" w:hAnsiTheme="minorHAnsi" w:cstheme="minorHAnsi"/>
          <w:sz w:val="22"/>
          <w:szCs w:val="22"/>
        </w:rPr>
        <w:t xml:space="preserve">He referred to the legacy of </w:t>
      </w:r>
      <w:r w:rsidRPr="0060648C">
        <w:rPr>
          <w:rFonts w:asciiTheme="minorHAnsi" w:eastAsia="Times New Roman" w:hAnsiTheme="minorHAnsi" w:cstheme="minorHAnsi"/>
          <w:color w:val="000000"/>
          <w:sz w:val="22"/>
          <w:szCs w:val="22"/>
        </w:rPr>
        <w:t xml:space="preserve">Mr. Tony Ryan, who, </w:t>
      </w:r>
      <w:r w:rsidRPr="0060648C">
        <w:rPr>
          <w:rFonts w:asciiTheme="minorHAnsi" w:eastAsia="Times New Roman" w:hAnsiTheme="minorHAnsi" w:cstheme="minorHAnsi"/>
          <w:sz w:val="22"/>
          <w:szCs w:val="22"/>
        </w:rPr>
        <w:t>in the context of the 1973 oil crisis,</w:t>
      </w:r>
      <w:r w:rsidRPr="0060648C">
        <w:rPr>
          <w:rFonts w:asciiTheme="minorHAnsi" w:eastAsia="Times New Roman" w:hAnsiTheme="minorHAnsi" w:cstheme="minorHAnsi"/>
          <w:color w:val="000000"/>
          <w:sz w:val="22"/>
          <w:szCs w:val="22"/>
        </w:rPr>
        <w:t xml:space="preserve"> was the first to imagine</w:t>
      </w:r>
      <w:r w:rsidRPr="0060648C">
        <w:rPr>
          <w:rFonts w:asciiTheme="minorHAnsi" w:eastAsia="Times New Roman" w:hAnsiTheme="minorHAnsi" w:cstheme="minorHAnsi"/>
          <w:sz w:val="22"/>
          <w:szCs w:val="22"/>
        </w:rPr>
        <w:t xml:space="preserve"> a</w:t>
      </w:r>
      <w:r w:rsidRPr="0060648C">
        <w:rPr>
          <w:rFonts w:asciiTheme="minorHAnsi" w:eastAsia="Times New Roman" w:hAnsiTheme="minorHAnsi" w:cstheme="minorHAnsi"/>
          <w:color w:val="000000"/>
          <w:sz w:val="22"/>
          <w:szCs w:val="22"/>
        </w:rPr>
        <w:t xml:space="preserve"> model by which airlines would lease a percentage of their fleet.</w:t>
      </w:r>
      <w:r w:rsidRPr="0060648C">
        <w:rPr>
          <w:rFonts w:asciiTheme="minorHAnsi" w:eastAsia="Times New Roman" w:hAnsiTheme="minorHAnsi" w:cstheme="minorHAnsi"/>
          <w:sz w:val="22"/>
          <w:szCs w:val="22"/>
        </w:rPr>
        <w:t xml:space="preserve"> What was then a complete novelty soon became</w:t>
      </w:r>
      <w:r w:rsidRPr="0060648C">
        <w:rPr>
          <w:rFonts w:asciiTheme="minorHAnsi" w:eastAsia="Times New Roman" w:hAnsiTheme="minorHAnsi" w:cstheme="minorHAnsi"/>
          <w:color w:val="000000"/>
          <w:sz w:val="22"/>
          <w:szCs w:val="22"/>
        </w:rPr>
        <w:t xml:space="preserve"> the preferred business model.</w:t>
      </w:r>
      <w:r w:rsidRPr="0060648C">
        <w:rPr>
          <w:rFonts w:asciiTheme="minorHAnsi" w:eastAsia="Times New Roman" w:hAnsiTheme="minorHAnsi" w:cstheme="minorHAnsi"/>
          <w:sz w:val="22"/>
          <w:szCs w:val="22"/>
        </w:rPr>
        <w:t xml:space="preserve"> </w:t>
      </w:r>
      <w:r w:rsidRPr="0060648C">
        <w:rPr>
          <w:rFonts w:asciiTheme="minorHAnsi" w:eastAsia="Times New Roman" w:hAnsiTheme="minorHAnsi" w:cstheme="minorHAnsi"/>
          <w:color w:val="000000"/>
          <w:sz w:val="22"/>
          <w:szCs w:val="22"/>
        </w:rPr>
        <w:t>Mr</w:t>
      </w:r>
      <w:r w:rsidR="00EB637D" w:rsidRPr="0060648C">
        <w:rPr>
          <w:rFonts w:asciiTheme="minorHAnsi" w:eastAsia="Times New Roman" w:hAnsiTheme="minorHAnsi" w:cstheme="minorHAnsi"/>
          <w:color w:val="000000"/>
          <w:sz w:val="22"/>
          <w:szCs w:val="22"/>
        </w:rPr>
        <w:t>.</w:t>
      </w:r>
      <w:r w:rsidRPr="0060648C">
        <w:rPr>
          <w:rFonts w:asciiTheme="minorHAnsi" w:eastAsia="Times New Roman" w:hAnsiTheme="minorHAnsi" w:cstheme="minorHAnsi"/>
          <w:color w:val="000000"/>
          <w:sz w:val="22"/>
          <w:szCs w:val="22"/>
        </w:rPr>
        <w:t xml:space="preserve"> Ryan established</w:t>
      </w:r>
      <w:r w:rsidR="00561393">
        <w:rPr>
          <w:rFonts w:asciiTheme="minorHAnsi" w:eastAsia="Times New Roman" w:hAnsiTheme="minorHAnsi" w:cstheme="minorHAnsi"/>
          <w:color w:val="000000"/>
          <w:sz w:val="22"/>
          <w:szCs w:val="22"/>
        </w:rPr>
        <w:t xml:space="preserve"> Guinness Peat Aviation</w:t>
      </w:r>
      <w:r w:rsidRPr="0060648C">
        <w:rPr>
          <w:rFonts w:asciiTheme="minorHAnsi" w:eastAsia="Times New Roman" w:hAnsiTheme="minorHAnsi" w:cstheme="minorHAnsi"/>
          <w:color w:val="000000"/>
          <w:sz w:val="22"/>
          <w:szCs w:val="22"/>
        </w:rPr>
        <w:t xml:space="preserve"> </w:t>
      </w:r>
      <w:r w:rsidR="00561393">
        <w:rPr>
          <w:rFonts w:asciiTheme="minorHAnsi" w:eastAsia="Times New Roman" w:hAnsiTheme="minorHAnsi" w:cstheme="minorHAnsi"/>
          <w:color w:val="000000"/>
          <w:sz w:val="22"/>
          <w:szCs w:val="22"/>
        </w:rPr>
        <w:t>(‘</w:t>
      </w:r>
      <w:r w:rsidRPr="0060648C">
        <w:rPr>
          <w:rFonts w:asciiTheme="minorHAnsi" w:eastAsia="Times New Roman" w:hAnsiTheme="minorHAnsi" w:cstheme="minorHAnsi"/>
          <w:color w:val="000000"/>
          <w:sz w:val="22"/>
          <w:szCs w:val="22"/>
        </w:rPr>
        <w:t>GPA</w:t>
      </w:r>
      <w:r w:rsidR="00561393">
        <w:rPr>
          <w:rFonts w:asciiTheme="minorHAnsi" w:eastAsia="Times New Roman" w:hAnsiTheme="minorHAnsi" w:cstheme="minorHAnsi"/>
          <w:color w:val="000000"/>
          <w:sz w:val="22"/>
          <w:szCs w:val="22"/>
        </w:rPr>
        <w:t>’)</w:t>
      </w:r>
      <w:r w:rsidRPr="0060648C">
        <w:rPr>
          <w:rFonts w:asciiTheme="minorHAnsi" w:eastAsia="Times New Roman" w:hAnsiTheme="minorHAnsi" w:cstheme="minorHAnsi"/>
          <w:color w:val="000000"/>
          <w:sz w:val="22"/>
          <w:szCs w:val="22"/>
        </w:rPr>
        <w:t>, and from the first leasing, it took off from there.</w:t>
      </w:r>
      <w:r w:rsidR="00EB637D" w:rsidRPr="0060648C">
        <w:rPr>
          <w:rFonts w:asciiTheme="minorHAnsi" w:eastAsia="Times New Roman" w:hAnsiTheme="minorHAnsi" w:cstheme="minorHAnsi"/>
          <w:color w:val="000000"/>
          <w:sz w:val="22"/>
          <w:szCs w:val="22"/>
        </w:rPr>
        <w:t xml:space="preserve"> The e</w:t>
      </w:r>
      <w:r w:rsidRPr="0060648C">
        <w:rPr>
          <w:rFonts w:asciiTheme="minorHAnsi" w:eastAsia="Times New Roman" w:hAnsiTheme="minorHAnsi" w:cstheme="minorHAnsi"/>
          <w:color w:val="000000"/>
          <w:sz w:val="22"/>
          <w:szCs w:val="22"/>
        </w:rPr>
        <w:t xml:space="preserve">arly years of GPA and dominance in the embryonic aircraft leasing business gave Ireland a level of local expertise </w:t>
      </w:r>
      <w:r w:rsidR="00EB637D" w:rsidRPr="0060648C">
        <w:rPr>
          <w:rFonts w:asciiTheme="minorHAnsi" w:eastAsia="Times New Roman" w:hAnsiTheme="minorHAnsi" w:cstheme="minorHAnsi"/>
          <w:color w:val="000000"/>
          <w:sz w:val="22"/>
          <w:szCs w:val="22"/>
        </w:rPr>
        <w:t>that</w:t>
      </w:r>
      <w:r w:rsidRPr="0060648C">
        <w:rPr>
          <w:rFonts w:asciiTheme="minorHAnsi" w:eastAsia="Times New Roman" w:hAnsiTheme="minorHAnsi" w:cstheme="minorHAnsi"/>
          <w:color w:val="000000"/>
          <w:sz w:val="22"/>
          <w:szCs w:val="22"/>
        </w:rPr>
        <w:t xml:space="preserve"> </w:t>
      </w:r>
      <w:r w:rsidR="00EB637D" w:rsidRPr="0060648C">
        <w:rPr>
          <w:rFonts w:asciiTheme="minorHAnsi" w:eastAsia="Times New Roman" w:hAnsiTheme="minorHAnsi" w:cstheme="minorHAnsi"/>
          <w:color w:val="000000"/>
          <w:sz w:val="22"/>
          <w:szCs w:val="22"/>
        </w:rPr>
        <w:t>still</w:t>
      </w:r>
      <w:r w:rsidRPr="0060648C">
        <w:rPr>
          <w:rFonts w:asciiTheme="minorHAnsi" w:eastAsia="Times New Roman" w:hAnsiTheme="minorHAnsi" w:cstheme="minorHAnsi"/>
          <w:color w:val="000000"/>
          <w:sz w:val="22"/>
          <w:szCs w:val="22"/>
        </w:rPr>
        <w:t xml:space="preserve"> pays dividends. </w:t>
      </w:r>
      <w:r w:rsidRPr="0060648C">
        <w:rPr>
          <w:rFonts w:asciiTheme="minorHAnsi" w:eastAsia="Times New Roman" w:hAnsiTheme="minorHAnsi" w:cstheme="minorHAnsi"/>
          <w:sz w:val="22"/>
          <w:szCs w:val="22"/>
        </w:rPr>
        <w:t xml:space="preserve">Today, Ireland is an undisputed leader in aircraft leasing. </w:t>
      </w:r>
      <w:r w:rsidRPr="0060648C">
        <w:rPr>
          <w:rFonts w:asciiTheme="minorHAnsi" w:eastAsia="Times New Roman" w:hAnsiTheme="minorHAnsi" w:cstheme="minorHAnsi"/>
          <w:color w:val="000000"/>
          <w:sz w:val="22"/>
          <w:szCs w:val="22"/>
        </w:rPr>
        <w:t xml:space="preserve">Of the 15 biggest aircraft lessors in the world, 14 have operations in Ireland. In 2019, </w:t>
      </w:r>
      <w:r w:rsidRPr="0060648C">
        <w:rPr>
          <w:rFonts w:asciiTheme="minorHAnsi" w:eastAsia="Times New Roman" w:hAnsiTheme="minorHAnsi" w:cstheme="minorHAnsi"/>
          <w:color w:val="000000" w:themeColor="text1"/>
          <w:sz w:val="22"/>
          <w:szCs w:val="22"/>
        </w:rPr>
        <w:t xml:space="preserve">over </w:t>
      </w:r>
      <w:r w:rsidR="00EB637D" w:rsidRPr="0060648C">
        <w:rPr>
          <w:rFonts w:asciiTheme="minorHAnsi" w:hAnsiTheme="minorHAnsi" w:cstheme="minorHAnsi"/>
          <w:color w:val="000000" w:themeColor="text1"/>
          <w:sz w:val="22"/>
          <w:szCs w:val="22"/>
          <w:shd w:val="clear" w:color="auto" w:fill="FFFFFF"/>
        </w:rPr>
        <w:t>€</w:t>
      </w:r>
      <w:r w:rsidRPr="0060648C">
        <w:rPr>
          <w:rFonts w:asciiTheme="minorHAnsi" w:eastAsia="Times New Roman" w:hAnsiTheme="minorHAnsi" w:cstheme="minorHAnsi"/>
          <w:color w:val="000000" w:themeColor="text1"/>
          <w:sz w:val="22"/>
          <w:szCs w:val="22"/>
        </w:rPr>
        <w:t xml:space="preserve">159 </w:t>
      </w:r>
      <w:r w:rsidRPr="0060648C">
        <w:rPr>
          <w:rFonts w:asciiTheme="minorHAnsi" w:eastAsia="Times New Roman" w:hAnsiTheme="minorHAnsi" w:cstheme="minorHAnsi"/>
          <w:color w:val="000000"/>
          <w:sz w:val="22"/>
          <w:szCs w:val="22"/>
        </w:rPr>
        <w:t>billion of aircraft assets were managed in Ireland.</w:t>
      </w:r>
      <w:r w:rsidRPr="0060648C">
        <w:rPr>
          <w:rFonts w:asciiTheme="minorHAnsi" w:eastAsia="Times New Roman" w:hAnsiTheme="minorHAnsi" w:cstheme="minorHAnsi"/>
          <w:sz w:val="22"/>
          <w:szCs w:val="22"/>
        </w:rPr>
        <w:t xml:space="preserve"> Ryanair, also founded by Tony Ryan, is currently Europe’s biggest airline. </w:t>
      </w:r>
    </w:p>
    <w:p w14:paraId="00000025" w14:textId="77777777" w:rsidR="0001123C" w:rsidRPr="0060648C" w:rsidRDefault="0001123C" w:rsidP="0060648C">
      <w:pPr>
        <w:spacing w:line="276" w:lineRule="auto"/>
        <w:contextualSpacing/>
        <w:jc w:val="both"/>
        <w:rPr>
          <w:rFonts w:asciiTheme="minorHAnsi" w:eastAsia="Times New Roman" w:hAnsiTheme="minorHAnsi" w:cstheme="minorHAnsi"/>
          <w:sz w:val="22"/>
          <w:szCs w:val="22"/>
        </w:rPr>
      </w:pPr>
    </w:p>
    <w:p w14:paraId="00000028" w14:textId="0BC9E089" w:rsidR="0001123C" w:rsidRPr="0060648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 xml:space="preserve">In recent years, Dublin Airport </w:t>
      </w:r>
      <w:r w:rsidR="00EB637D" w:rsidRPr="0060648C">
        <w:rPr>
          <w:rFonts w:asciiTheme="minorHAnsi" w:eastAsia="Times New Roman" w:hAnsiTheme="minorHAnsi" w:cstheme="minorHAnsi"/>
          <w:sz w:val="22"/>
          <w:szCs w:val="22"/>
        </w:rPr>
        <w:t>has beco</w:t>
      </w:r>
      <w:r w:rsidRPr="0060648C">
        <w:rPr>
          <w:rFonts w:asciiTheme="minorHAnsi" w:eastAsia="Times New Roman" w:hAnsiTheme="minorHAnsi" w:cstheme="minorHAnsi"/>
          <w:sz w:val="22"/>
          <w:szCs w:val="22"/>
        </w:rPr>
        <w:t>me a key transatlantic hub connecting multiple destinations in the US with mainland Europe.</w:t>
      </w:r>
      <w:r w:rsidR="005A4FE1" w:rsidRPr="0060648C">
        <w:rPr>
          <w:rFonts w:asciiTheme="minorHAnsi" w:eastAsia="Times New Roman" w:hAnsiTheme="minorHAnsi" w:cstheme="minorHAnsi"/>
          <w:sz w:val="22"/>
          <w:szCs w:val="22"/>
        </w:rPr>
        <w:t xml:space="preserve"> </w:t>
      </w:r>
      <w:r w:rsidRPr="0060648C">
        <w:rPr>
          <w:rFonts w:asciiTheme="minorHAnsi" w:eastAsia="Times New Roman" w:hAnsiTheme="minorHAnsi" w:cstheme="minorHAnsi"/>
          <w:color w:val="000000"/>
          <w:sz w:val="22"/>
          <w:szCs w:val="22"/>
        </w:rPr>
        <w:t>As a result, Ireland can boast of leading practi</w:t>
      </w:r>
      <w:r w:rsidRPr="0060648C">
        <w:rPr>
          <w:rFonts w:asciiTheme="minorHAnsi" w:eastAsia="Times New Roman" w:hAnsiTheme="minorHAnsi" w:cstheme="minorHAnsi"/>
          <w:sz w:val="22"/>
          <w:szCs w:val="22"/>
        </w:rPr>
        <w:t xml:space="preserve">tioners in asset financing and associated legal services. </w:t>
      </w:r>
      <w:r w:rsidR="005A4FE1" w:rsidRPr="0060648C">
        <w:rPr>
          <w:rFonts w:asciiTheme="minorHAnsi" w:eastAsia="Times New Roman" w:hAnsiTheme="minorHAnsi" w:cstheme="minorHAnsi"/>
          <w:sz w:val="22"/>
          <w:szCs w:val="22"/>
        </w:rPr>
        <w:t xml:space="preserve">Furthermore, </w:t>
      </w:r>
      <w:r w:rsidRPr="0060648C">
        <w:rPr>
          <w:rFonts w:asciiTheme="minorHAnsi" w:eastAsia="Times New Roman" w:hAnsiTheme="minorHAnsi" w:cstheme="minorHAnsi"/>
          <w:sz w:val="22"/>
          <w:szCs w:val="22"/>
        </w:rPr>
        <w:t>Ireland has a robust regulatory framework, English-speaking, and an independent and effective judiciary. A</w:t>
      </w:r>
      <w:r w:rsidR="005A4FE1" w:rsidRPr="0060648C">
        <w:rPr>
          <w:rFonts w:asciiTheme="minorHAnsi" w:eastAsia="Times New Roman" w:hAnsiTheme="minorHAnsi" w:cstheme="minorHAnsi"/>
          <w:sz w:val="22"/>
          <w:szCs w:val="22"/>
        </w:rPr>
        <w:t>lso</w:t>
      </w:r>
      <w:r w:rsidRPr="0060648C">
        <w:rPr>
          <w:rFonts w:asciiTheme="minorHAnsi" w:eastAsia="Times New Roman" w:hAnsiTheme="minorHAnsi" w:cstheme="minorHAnsi"/>
          <w:sz w:val="22"/>
          <w:szCs w:val="22"/>
        </w:rPr>
        <w:t xml:space="preserve">, there is a common language </w:t>
      </w:r>
      <w:r w:rsidR="005A4FE1" w:rsidRPr="0060648C">
        <w:rPr>
          <w:rFonts w:asciiTheme="minorHAnsi" w:eastAsia="Times New Roman" w:hAnsiTheme="minorHAnsi" w:cstheme="minorHAnsi"/>
          <w:sz w:val="22"/>
          <w:szCs w:val="22"/>
        </w:rPr>
        <w:t>among</w:t>
      </w:r>
      <w:r w:rsidRPr="0060648C">
        <w:rPr>
          <w:rFonts w:asciiTheme="minorHAnsi" w:eastAsia="Times New Roman" w:hAnsiTheme="minorHAnsi" w:cstheme="minorHAnsi"/>
          <w:sz w:val="22"/>
          <w:szCs w:val="22"/>
        </w:rPr>
        <w:t xml:space="preserve"> lawyers practicing in the US, Canada</w:t>
      </w:r>
      <w:r w:rsidR="005A4FE1" w:rsidRPr="0060648C">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 xml:space="preserve"> and the UK. The legal systems are mutually intelligible. Also, Courts litigate fairly</w:t>
      </w:r>
      <w:r w:rsidR="005A4FE1" w:rsidRPr="0060648C">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 xml:space="preserve"> and the judiciary</w:t>
      </w:r>
      <w:r w:rsidR="005A4FE1" w:rsidRPr="0060648C">
        <w:rPr>
          <w:rFonts w:asciiTheme="minorHAnsi" w:eastAsia="Times New Roman" w:hAnsiTheme="minorHAnsi" w:cstheme="minorHAnsi"/>
          <w:sz w:val="22"/>
          <w:szCs w:val="22"/>
        </w:rPr>
        <w:t xml:space="preserve"> is independent</w:t>
      </w:r>
      <w:r w:rsidRPr="0060648C">
        <w:rPr>
          <w:rFonts w:asciiTheme="minorHAnsi" w:eastAsia="Times New Roman" w:hAnsiTheme="minorHAnsi" w:cstheme="minorHAnsi"/>
          <w:sz w:val="22"/>
          <w:szCs w:val="22"/>
        </w:rPr>
        <w:t xml:space="preserve">. All these factors have contributed to Irish law becoming a popular choice in international commercial transactions.  </w:t>
      </w:r>
    </w:p>
    <w:p w14:paraId="00000029" w14:textId="77777777" w:rsidR="0001123C" w:rsidRPr="0060648C" w:rsidRDefault="0001123C" w:rsidP="0060648C">
      <w:pPr>
        <w:spacing w:line="276" w:lineRule="auto"/>
        <w:contextualSpacing/>
        <w:jc w:val="both"/>
        <w:rPr>
          <w:rFonts w:asciiTheme="minorHAnsi" w:eastAsia="Times New Roman" w:hAnsiTheme="minorHAnsi" w:cstheme="minorHAnsi"/>
          <w:sz w:val="22"/>
          <w:szCs w:val="22"/>
        </w:rPr>
      </w:pPr>
    </w:p>
    <w:p w14:paraId="0000002A" w14:textId="73B65B47" w:rsidR="0001123C" w:rsidRPr="00561393" w:rsidRDefault="00000000" w:rsidP="0060648C">
      <w:pPr>
        <w:spacing w:line="276" w:lineRule="auto"/>
        <w:contextualSpacing/>
        <w:jc w:val="both"/>
        <w:rPr>
          <w:rFonts w:asciiTheme="minorHAnsi" w:eastAsia="Times New Roman" w:hAnsiTheme="minorHAnsi" w:cstheme="minorHAnsi"/>
          <w:color w:val="000000"/>
          <w:sz w:val="22"/>
          <w:szCs w:val="22"/>
        </w:rPr>
      </w:pPr>
      <w:r w:rsidRPr="0060648C">
        <w:rPr>
          <w:rFonts w:asciiTheme="minorHAnsi" w:eastAsia="Times New Roman" w:hAnsiTheme="minorHAnsi" w:cstheme="minorHAnsi"/>
          <w:color w:val="000000"/>
          <w:sz w:val="22"/>
          <w:szCs w:val="22"/>
        </w:rPr>
        <w:lastRenderedPageBreak/>
        <w:t xml:space="preserve">In recent times, the imposition of sanctions on the Russian government and retaliatory seizure of Irish-leased aircraft by the </w:t>
      </w:r>
      <w:r w:rsidR="00C056E7" w:rsidRPr="0060648C">
        <w:rPr>
          <w:rFonts w:asciiTheme="minorHAnsi" w:eastAsia="Times New Roman" w:hAnsiTheme="minorHAnsi" w:cstheme="minorHAnsi"/>
          <w:color w:val="000000"/>
          <w:sz w:val="22"/>
          <w:szCs w:val="22"/>
        </w:rPr>
        <w:t>same</w:t>
      </w:r>
      <w:r w:rsidRPr="0060648C">
        <w:rPr>
          <w:rFonts w:asciiTheme="minorHAnsi" w:eastAsia="Times New Roman" w:hAnsiTheme="minorHAnsi" w:cstheme="minorHAnsi"/>
          <w:color w:val="000000"/>
          <w:sz w:val="22"/>
          <w:szCs w:val="22"/>
        </w:rPr>
        <w:t xml:space="preserve"> government led to on</w:t>
      </w:r>
      <w:r w:rsidRPr="0060648C">
        <w:rPr>
          <w:rFonts w:asciiTheme="minorHAnsi" w:eastAsia="Times New Roman" w:hAnsiTheme="minorHAnsi" w:cstheme="minorHAnsi"/>
          <w:sz w:val="22"/>
          <w:szCs w:val="22"/>
        </w:rPr>
        <w:t xml:space="preserve">e of the </w:t>
      </w:r>
      <w:r w:rsidRPr="0060648C">
        <w:rPr>
          <w:rFonts w:asciiTheme="minorHAnsi" w:eastAsia="Times New Roman" w:hAnsiTheme="minorHAnsi" w:cstheme="minorHAnsi"/>
          <w:color w:val="000000"/>
          <w:sz w:val="22"/>
          <w:szCs w:val="22"/>
        </w:rPr>
        <w:t>most significant litigations in the history of Ir</w:t>
      </w:r>
      <w:r w:rsidRPr="0060648C">
        <w:rPr>
          <w:rFonts w:asciiTheme="minorHAnsi" w:eastAsia="Times New Roman" w:hAnsiTheme="minorHAnsi" w:cstheme="minorHAnsi"/>
          <w:sz w:val="22"/>
          <w:szCs w:val="22"/>
        </w:rPr>
        <w:t xml:space="preserve">ish </w:t>
      </w:r>
      <w:r w:rsidRPr="0060648C">
        <w:rPr>
          <w:rFonts w:asciiTheme="minorHAnsi" w:eastAsia="Times New Roman" w:hAnsiTheme="minorHAnsi" w:cstheme="minorHAnsi"/>
          <w:color w:val="000000"/>
          <w:sz w:val="22"/>
          <w:szCs w:val="22"/>
        </w:rPr>
        <w:t>commercial courts.</w:t>
      </w:r>
      <w:r w:rsidR="00C056E7" w:rsidRPr="0060648C">
        <w:rPr>
          <w:rFonts w:asciiTheme="minorHAnsi" w:eastAsia="Times New Roman" w:hAnsiTheme="minorHAnsi" w:cstheme="minorHAnsi"/>
          <w:color w:val="000000"/>
          <w:sz w:val="22"/>
          <w:szCs w:val="22"/>
        </w:rPr>
        <w:t xml:space="preserve"> </w:t>
      </w:r>
      <w:r w:rsidRPr="0060648C">
        <w:rPr>
          <w:rFonts w:asciiTheme="minorHAnsi" w:eastAsia="Times New Roman" w:hAnsiTheme="minorHAnsi" w:cstheme="minorHAnsi"/>
          <w:sz w:val="22"/>
          <w:szCs w:val="22"/>
        </w:rPr>
        <w:t>Th</w:t>
      </w:r>
      <w:r w:rsidR="00561393">
        <w:rPr>
          <w:rFonts w:asciiTheme="minorHAnsi" w:eastAsia="Times New Roman" w:hAnsiTheme="minorHAnsi" w:cstheme="minorHAnsi"/>
          <w:sz w:val="22"/>
          <w:szCs w:val="22"/>
        </w:rPr>
        <w:t>e</w:t>
      </w:r>
      <w:r w:rsidRPr="0060648C">
        <w:rPr>
          <w:rFonts w:asciiTheme="minorHAnsi" w:eastAsia="Times New Roman" w:hAnsiTheme="minorHAnsi" w:cstheme="minorHAnsi"/>
          <w:sz w:val="22"/>
          <w:szCs w:val="22"/>
        </w:rPr>
        <w:t xml:space="preserve"> </w:t>
      </w:r>
      <w:sdt>
        <w:sdtPr>
          <w:rPr>
            <w:rFonts w:asciiTheme="minorHAnsi" w:hAnsiTheme="minorHAnsi" w:cstheme="minorHAnsi"/>
          </w:rPr>
          <w:tag w:val="goog_rdk_0"/>
          <w:id w:val="-1598959496"/>
        </w:sdtPr>
        <w:sdtContent/>
      </w:sdt>
      <w:sdt>
        <w:sdtPr>
          <w:rPr>
            <w:rFonts w:asciiTheme="minorHAnsi" w:hAnsiTheme="minorHAnsi" w:cstheme="minorHAnsi"/>
          </w:rPr>
          <w:tag w:val="goog_rdk_1"/>
          <w:id w:val="-1293503074"/>
        </w:sdtPr>
        <w:sdtContent/>
      </w:sdt>
      <w:r w:rsidRPr="0060648C">
        <w:rPr>
          <w:rFonts w:asciiTheme="minorHAnsi" w:eastAsia="Times New Roman" w:hAnsiTheme="minorHAnsi" w:cstheme="minorHAnsi"/>
          <w:sz w:val="22"/>
          <w:szCs w:val="22"/>
        </w:rPr>
        <w:t>case</w:t>
      </w:r>
      <w:r w:rsidRPr="0060648C">
        <w:rPr>
          <w:rFonts w:asciiTheme="minorHAnsi" w:eastAsia="Times New Roman" w:hAnsiTheme="minorHAnsi" w:cstheme="minorHAnsi"/>
          <w:sz w:val="22"/>
          <w:szCs w:val="22"/>
          <w:vertAlign w:val="superscript"/>
        </w:rPr>
        <w:footnoteReference w:id="1"/>
      </w:r>
      <w:r w:rsidRPr="0060648C">
        <w:rPr>
          <w:rFonts w:asciiTheme="minorHAnsi" w:eastAsia="Times New Roman" w:hAnsiTheme="minorHAnsi" w:cstheme="minorHAnsi"/>
          <w:sz w:val="22"/>
          <w:szCs w:val="22"/>
        </w:rPr>
        <w:t xml:space="preserve"> of stranded aircraft in Russia was a fantastic test for the Irish litigation system</w:t>
      </w:r>
      <w:r w:rsidR="00C056E7" w:rsidRPr="0060648C">
        <w:rPr>
          <w:rFonts w:asciiTheme="minorHAnsi" w:eastAsia="Times New Roman" w:hAnsiTheme="minorHAnsi" w:cstheme="minorHAnsi"/>
          <w:sz w:val="22"/>
          <w:szCs w:val="22"/>
        </w:rPr>
        <w:t xml:space="preserve">, </w:t>
      </w:r>
      <w:r w:rsidRPr="0060648C">
        <w:rPr>
          <w:rFonts w:asciiTheme="minorHAnsi" w:eastAsia="Times New Roman" w:hAnsiTheme="minorHAnsi" w:cstheme="minorHAnsi"/>
          <w:sz w:val="22"/>
          <w:szCs w:val="22"/>
        </w:rPr>
        <w:t>one that it has generally passed, although there are lessons to be learned from a litigation at such a scale.</w:t>
      </w:r>
      <w:r w:rsidR="00561393">
        <w:rPr>
          <w:rFonts w:asciiTheme="minorHAnsi" w:eastAsia="Times New Roman" w:hAnsiTheme="minorHAnsi" w:cstheme="minorHAnsi"/>
          <w:color w:val="000000"/>
          <w:sz w:val="22"/>
          <w:szCs w:val="22"/>
        </w:rPr>
        <w:t xml:space="preserve"> </w:t>
      </w:r>
      <w:r w:rsidRPr="0060648C">
        <w:rPr>
          <w:rFonts w:asciiTheme="minorHAnsi" w:eastAsia="Times New Roman" w:hAnsiTheme="minorHAnsi" w:cstheme="minorHAnsi"/>
          <w:color w:val="000000"/>
          <w:sz w:val="22"/>
          <w:szCs w:val="22"/>
        </w:rPr>
        <w:t>The concentration of high</w:t>
      </w:r>
      <w:r w:rsidR="00F46BF4" w:rsidRPr="0060648C">
        <w:rPr>
          <w:rFonts w:asciiTheme="minorHAnsi" w:eastAsia="Times New Roman" w:hAnsiTheme="minorHAnsi" w:cstheme="minorHAnsi"/>
          <w:color w:val="000000"/>
          <w:sz w:val="22"/>
          <w:szCs w:val="22"/>
        </w:rPr>
        <w:t>-</w:t>
      </w:r>
      <w:r w:rsidRPr="0060648C">
        <w:rPr>
          <w:rFonts w:asciiTheme="minorHAnsi" w:eastAsia="Times New Roman" w:hAnsiTheme="minorHAnsi" w:cstheme="minorHAnsi"/>
          <w:color w:val="000000"/>
          <w:sz w:val="22"/>
          <w:szCs w:val="22"/>
        </w:rPr>
        <w:t xml:space="preserve">value commercial transactions and the disputes associated </w:t>
      </w:r>
      <w:r w:rsidR="00C056E7" w:rsidRPr="0060648C">
        <w:rPr>
          <w:rFonts w:asciiTheme="minorHAnsi" w:eastAsia="Times New Roman" w:hAnsiTheme="minorHAnsi" w:cstheme="minorHAnsi"/>
          <w:color w:val="000000"/>
          <w:sz w:val="22"/>
          <w:szCs w:val="22"/>
        </w:rPr>
        <w:t xml:space="preserve">with them </w:t>
      </w:r>
      <w:r w:rsidRPr="0060648C">
        <w:rPr>
          <w:rFonts w:asciiTheme="minorHAnsi" w:eastAsia="Times New Roman" w:hAnsiTheme="minorHAnsi" w:cstheme="minorHAnsi"/>
          <w:color w:val="000000"/>
          <w:sz w:val="22"/>
          <w:szCs w:val="22"/>
        </w:rPr>
        <w:t>has required the growth of the legal services sector to support them.</w:t>
      </w:r>
    </w:p>
    <w:p w14:paraId="0000002B" w14:textId="77777777" w:rsidR="0001123C" w:rsidRPr="0060648C" w:rsidRDefault="0001123C" w:rsidP="0060648C">
      <w:pPr>
        <w:spacing w:line="276" w:lineRule="auto"/>
        <w:contextualSpacing/>
        <w:jc w:val="both"/>
        <w:rPr>
          <w:rFonts w:asciiTheme="minorHAnsi" w:eastAsia="Times New Roman" w:hAnsiTheme="minorHAnsi" w:cstheme="minorHAnsi"/>
          <w:sz w:val="22"/>
          <w:szCs w:val="22"/>
        </w:rPr>
      </w:pPr>
    </w:p>
    <w:p w14:paraId="0000002C" w14:textId="7C978814" w:rsidR="0001123C" w:rsidRPr="0060648C" w:rsidRDefault="00000000" w:rsidP="0060648C">
      <w:pPr>
        <w:spacing w:line="276" w:lineRule="auto"/>
        <w:contextualSpacing/>
        <w:jc w:val="both"/>
        <w:rPr>
          <w:rFonts w:asciiTheme="minorHAnsi" w:eastAsia="Times New Roman" w:hAnsiTheme="minorHAnsi" w:cstheme="minorHAnsi"/>
          <w:color w:val="000000"/>
          <w:sz w:val="22"/>
          <w:szCs w:val="22"/>
        </w:rPr>
      </w:pPr>
      <w:r w:rsidRPr="0060648C">
        <w:rPr>
          <w:rFonts w:asciiTheme="minorHAnsi" w:eastAsia="Times New Roman" w:hAnsiTheme="minorHAnsi" w:cstheme="minorHAnsi"/>
          <w:sz w:val="22"/>
          <w:szCs w:val="22"/>
        </w:rPr>
        <w:t>As a way of summary, Mr</w:t>
      </w:r>
      <w:r w:rsidR="00C056E7" w:rsidRPr="0060648C">
        <w:rPr>
          <w:rFonts w:asciiTheme="minorHAnsi" w:eastAsia="Times New Roman" w:hAnsiTheme="minorHAnsi" w:cstheme="minorHAnsi"/>
          <w:sz w:val="22"/>
          <w:szCs w:val="22"/>
        </w:rPr>
        <w:t xml:space="preserve">. </w:t>
      </w:r>
      <w:r w:rsidRPr="0060648C">
        <w:rPr>
          <w:rFonts w:asciiTheme="minorHAnsi" w:eastAsia="Times New Roman" w:hAnsiTheme="minorHAnsi" w:cstheme="minorHAnsi"/>
          <w:sz w:val="22"/>
          <w:szCs w:val="22"/>
        </w:rPr>
        <w:t>Fanning underlined the significant role the Irish legal system played in the success story that has been the growth of the aviation sector</w:t>
      </w:r>
      <w:r w:rsidR="00C056E7" w:rsidRPr="0060648C">
        <w:rPr>
          <w:rFonts w:asciiTheme="minorHAnsi" w:eastAsia="Times New Roman" w:hAnsiTheme="minorHAnsi" w:cstheme="minorHAnsi"/>
          <w:sz w:val="22"/>
          <w:szCs w:val="22"/>
        </w:rPr>
        <w:t xml:space="preserve">. He </w:t>
      </w:r>
      <w:r w:rsidRPr="0060648C">
        <w:rPr>
          <w:rFonts w:asciiTheme="minorHAnsi" w:eastAsia="Times New Roman" w:hAnsiTheme="minorHAnsi" w:cstheme="minorHAnsi"/>
          <w:sz w:val="22"/>
          <w:szCs w:val="22"/>
        </w:rPr>
        <w:t>added that the government</w:t>
      </w:r>
      <w:r w:rsidRPr="0060648C">
        <w:rPr>
          <w:rFonts w:asciiTheme="minorHAnsi" w:eastAsia="Times New Roman" w:hAnsiTheme="minorHAnsi" w:cstheme="minorHAnsi"/>
          <w:color w:val="000000"/>
          <w:sz w:val="22"/>
          <w:szCs w:val="22"/>
        </w:rPr>
        <w:t xml:space="preserve"> is committed to </w:t>
      </w:r>
      <w:r w:rsidRPr="0060648C">
        <w:rPr>
          <w:rFonts w:asciiTheme="minorHAnsi" w:eastAsia="Times New Roman" w:hAnsiTheme="minorHAnsi" w:cstheme="minorHAnsi"/>
          <w:sz w:val="22"/>
          <w:szCs w:val="22"/>
        </w:rPr>
        <w:t>increasing</w:t>
      </w:r>
      <w:r w:rsidRPr="0060648C">
        <w:rPr>
          <w:rFonts w:asciiTheme="minorHAnsi" w:eastAsia="Times New Roman" w:hAnsiTheme="minorHAnsi" w:cstheme="minorHAnsi"/>
          <w:color w:val="000000"/>
          <w:sz w:val="22"/>
          <w:szCs w:val="22"/>
        </w:rPr>
        <w:t xml:space="preserve"> the resources of the courts. </w:t>
      </w:r>
    </w:p>
    <w:p w14:paraId="0000002D" w14:textId="77777777" w:rsidR="0001123C" w:rsidRPr="00561393" w:rsidRDefault="0001123C" w:rsidP="0060648C">
      <w:pPr>
        <w:spacing w:line="276" w:lineRule="auto"/>
        <w:contextualSpacing/>
        <w:jc w:val="both"/>
        <w:rPr>
          <w:rFonts w:asciiTheme="minorHAnsi" w:eastAsia="Times New Roman" w:hAnsiTheme="minorHAnsi" w:cstheme="minorHAnsi"/>
          <w:b/>
          <w:color w:val="000000"/>
          <w:sz w:val="22"/>
          <w:szCs w:val="22"/>
        </w:rPr>
      </w:pPr>
    </w:p>
    <w:p w14:paraId="0000002E" w14:textId="5C059B2F" w:rsidR="0001123C" w:rsidRPr="00561393" w:rsidRDefault="00000000" w:rsidP="0060648C">
      <w:pPr>
        <w:spacing w:line="276" w:lineRule="auto"/>
        <w:contextualSpacing/>
        <w:jc w:val="both"/>
        <w:rPr>
          <w:rFonts w:asciiTheme="minorHAnsi" w:eastAsia="Times New Roman" w:hAnsiTheme="minorHAnsi" w:cstheme="minorHAnsi"/>
          <w:b/>
          <w:sz w:val="22"/>
          <w:szCs w:val="22"/>
        </w:rPr>
      </w:pPr>
      <w:r w:rsidRPr="00561393">
        <w:rPr>
          <w:rFonts w:asciiTheme="minorHAnsi" w:eastAsia="Times New Roman" w:hAnsiTheme="minorHAnsi" w:cstheme="minorHAnsi"/>
          <w:b/>
          <w:sz w:val="22"/>
          <w:szCs w:val="22"/>
        </w:rPr>
        <w:t>14.15 – 14.25:</w:t>
      </w:r>
      <w:r w:rsidR="00561393" w:rsidRPr="00561393">
        <w:rPr>
          <w:rFonts w:asciiTheme="minorHAnsi" w:eastAsia="Times New Roman" w:hAnsiTheme="minorHAnsi" w:cstheme="minorHAnsi"/>
          <w:b/>
          <w:sz w:val="22"/>
          <w:szCs w:val="22"/>
        </w:rPr>
        <w:t xml:space="preserve"> </w:t>
      </w:r>
      <w:r w:rsidRPr="00561393">
        <w:rPr>
          <w:rFonts w:asciiTheme="minorHAnsi" w:eastAsia="Times New Roman" w:hAnsiTheme="minorHAnsi" w:cstheme="minorHAnsi"/>
          <w:b/>
          <w:sz w:val="22"/>
          <w:szCs w:val="22"/>
        </w:rPr>
        <w:t>Framing comments by moderator, Jeffrey Wool</w:t>
      </w:r>
      <w:r w:rsidR="004A7FAD">
        <w:rPr>
          <w:rFonts w:asciiTheme="minorHAnsi" w:eastAsia="Times New Roman" w:hAnsiTheme="minorHAnsi" w:cstheme="minorHAnsi"/>
          <w:b/>
          <w:sz w:val="22"/>
          <w:szCs w:val="22"/>
        </w:rPr>
        <w:t xml:space="preserve">, </w:t>
      </w:r>
      <w:r w:rsidRPr="00561393">
        <w:rPr>
          <w:rFonts w:asciiTheme="minorHAnsi" w:eastAsia="Times New Roman" w:hAnsiTheme="minorHAnsi" w:cstheme="minorHAnsi"/>
          <w:b/>
          <w:sz w:val="22"/>
          <w:szCs w:val="22"/>
        </w:rPr>
        <w:t>Adjunct Professor of Law</w:t>
      </w:r>
      <w:r w:rsidR="00E80A0D">
        <w:rPr>
          <w:rFonts w:asciiTheme="minorHAnsi" w:eastAsia="Times New Roman" w:hAnsiTheme="minorHAnsi" w:cstheme="minorHAnsi"/>
          <w:b/>
          <w:sz w:val="22"/>
          <w:szCs w:val="22"/>
        </w:rPr>
        <w:t>,</w:t>
      </w:r>
      <w:r w:rsidR="00561393" w:rsidRPr="00561393">
        <w:rPr>
          <w:rFonts w:asciiTheme="minorHAnsi" w:eastAsia="Times New Roman" w:hAnsiTheme="minorHAnsi" w:cstheme="minorHAnsi"/>
          <w:b/>
          <w:sz w:val="22"/>
          <w:szCs w:val="22"/>
        </w:rPr>
        <w:t>TCD</w:t>
      </w:r>
    </w:p>
    <w:p w14:paraId="0000002F" w14:textId="77777777" w:rsidR="0001123C" w:rsidRPr="0060648C" w:rsidRDefault="0001123C" w:rsidP="0060648C">
      <w:pPr>
        <w:spacing w:line="276" w:lineRule="auto"/>
        <w:contextualSpacing/>
        <w:jc w:val="both"/>
        <w:rPr>
          <w:rFonts w:asciiTheme="minorHAnsi" w:eastAsia="Times New Roman" w:hAnsiTheme="minorHAnsi" w:cstheme="minorHAnsi"/>
          <w:color w:val="000000"/>
          <w:sz w:val="22"/>
          <w:szCs w:val="22"/>
        </w:rPr>
      </w:pPr>
    </w:p>
    <w:p w14:paraId="00000030" w14:textId="27F22E10" w:rsidR="0001123C" w:rsidRPr="0060648C" w:rsidRDefault="00AB2B70" w:rsidP="0060648C">
      <w:pPr>
        <w:spacing w:line="276" w:lineRule="auto"/>
        <w:contextualSpacing/>
        <w:jc w:val="both"/>
        <w:rPr>
          <w:rFonts w:asciiTheme="minorHAnsi" w:eastAsia="Times New Roman" w:hAnsiTheme="minorHAnsi" w:cstheme="minorHAnsi"/>
          <w:color w:val="000000"/>
          <w:sz w:val="22"/>
          <w:szCs w:val="22"/>
          <w:highlight w:val="white"/>
        </w:rPr>
      </w:pPr>
      <w:r>
        <w:rPr>
          <w:rFonts w:asciiTheme="minorHAnsi" w:eastAsia="Times New Roman" w:hAnsiTheme="minorHAnsi" w:cstheme="minorHAnsi"/>
          <w:b/>
          <w:color w:val="000000"/>
          <w:sz w:val="22"/>
          <w:szCs w:val="22"/>
        </w:rPr>
        <w:t>Prof.</w:t>
      </w:r>
      <w:r w:rsidRPr="0060648C">
        <w:rPr>
          <w:rFonts w:asciiTheme="minorHAnsi" w:eastAsia="Times New Roman" w:hAnsiTheme="minorHAnsi" w:cstheme="minorHAnsi"/>
          <w:b/>
          <w:color w:val="000000"/>
          <w:sz w:val="22"/>
          <w:szCs w:val="22"/>
        </w:rPr>
        <w:t xml:space="preserve"> Jeffrey </w:t>
      </w:r>
      <w:r w:rsidRPr="0060648C">
        <w:rPr>
          <w:rFonts w:asciiTheme="minorHAnsi" w:eastAsia="Times New Roman" w:hAnsiTheme="minorHAnsi" w:cstheme="minorHAnsi"/>
          <w:b/>
          <w:color w:val="000000" w:themeColor="text1"/>
          <w:sz w:val="22"/>
          <w:szCs w:val="22"/>
        </w:rPr>
        <w:t>Wool</w:t>
      </w:r>
      <w:r w:rsidR="004A7FAD">
        <w:rPr>
          <w:rFonts w:asciiTheme="minorHAnsi" w:eastAsia="Times New Roman" w:hAnsiTheme="minorHAnsi" w:cstheme="minorHAnsi"/>
          <w:b/>
          <w:color w:val="000000" w:themeColor="text1"/>
          <w:sz w:val="22"/>
          <w:szCs w:val="22"/>
        </w:rPr>
        <w:t xml:space="preserve"> </w:t>
      </w:r>
      <w:r w:rsidRPr="0060648C">
        <w:rPr>
          <w:rFonts w:asciiTheme="minorHAnsi" w:eastAsia="Times New Roman" w:hAnsiTheme="minorHAnsi" w:cstheme="minorHAnsi"/>
          <w:sz w:val="22"/>
          <w:szCs w:val="22"/>
        </w:rPr>
        <w:t>emphasized</w:t>
      </w:r>
      <w:r w:rsidRPr="0060648C">
        <w:rPr>
          <w:rFonts w:asciiTheme="minorHAnsi" w:eastAsia="Times New Roman" w:hAnsiTheme="minorHAnsi" w:cstheme="minorHAnsi"/>
          <w:color w:val="000000"/>
          <w:sz w:val="22"/>
          <w:szCs w:val="22"/>
        </w:rPr>
        <w:t xml:space="preserve"> that the international registry </w:t>
      </w:r>
      <w:r w:rsidRPr="0060648C">
        <w:rPr>
          <w:rFonts w:asciiTheme="minorHAnsi" w:eastAsia="Times New Roman" w:hAnsiTheme="minorHAnsi" w:cstheme="minorHAnsi"/>
          <w:sz w:val="22"/>
          <w:szCs w:val="22"/>
        </w:rPr>
        <w:t>under</w:t>
      </w:r>
      <w:r w:rsidRPr="0060648C">
        <w:rPr>
          <w:rFonts w:asciiTheme="minorHAnsi" w:eastAsia="Times New Roman" w:hAnsiTheme="minorHAnsi" w:cstheme="minorHAnsi"/>
          <w:color w:val="000000"/>
          <w:sz w:val="22"/>
          <w:szCs w:val="22"/>
        </w:rPr>
        <w:t xml:space="preserve"> the </w:t>
      </w:r>
      <w:r w:rsidRPr="00561393">
        <w:rPr>
          <w:rFonts w:asciiTheme="minorHAnsi" w:eastAsia="Times New Roman" w:hAnsiTheme="minorHAnsi" w:cstheme="minorHAnsi"/>
          <w:i/>
          <w:iCs/>
          <w:color w:val="000000"/>
          <w:sz w:val="22"/>
          <w:szCs w:val="22"/>
        </w:rPr>
        <w:t>Cape Town Convention</w:t>
      </w:r>
      <w:r w:rsidRPr="0060648C">
        <w:rPr>
          <w:rFonts w:asciiTheme="minorHAnsi" w:eastAsia="Times New Roman" w:hAnsiTheme="minorHAnsi" w:cstheme="minorHAnsi"/>
          <w:color w:val="000000"/>
          <w:sz w:val="22"/>
          <w:szCs w:val="22"/>
        </w:rPr>
        <w:t xml:space="preserve"> (</w:t>
      </w:r>
      <w:r w:rsidRPr="0060648C">
        <w:rPr>
          <w:rFonts w:asciiTheme="minorHAnsi" w:eastAsia="Times New Roman" w:hAnsiTheme="minorHAnsi" w:cstheme="minorHAnsi"/>
          <w:sz w:val="22"/>
          <w:szCs w:val="22"/>
        </w:rPr>
        <w:t>‘CTC’) operates out of Ireland</w:t>
      </w:r>
      <w:r w:rsidRPr="0060648C">
        <w:rPr>
          <w:rFonts w:asciiTheme="minorHAnsi" w:eastAsia="Times New Roman" w:hAnsiTheme="minorHAnsi" w:cstheme="minorHAnsi"/>
          <w:color w:val="000000"/>
          <w:sz w:val="22"/>
          <w:szCs w:val="22"/>
        </w:rPr>
        <w:t>, further</w:t>
      </w:r>
      <w:r w:rsidRPr="0060648C">
        <w:rPr>
          <w:rFonts w:asciiTheme="minorHAnsi" w:eastAsia="Times New Roman" w:hAnsiTheme="minorHAnsi" w:cstheme="minorHAnsi"/>
          <w:sz w:val="22"/>
          <w:szCs w:val="22"/>
        </w:rPr>
        <w:t>ly strengthening the position of the Irish judiciary in the world of aviation litigation</w:t>
      </w:r>
      <w:r w:rsidRPr="0060648C">
        <w:rPr>
          <w:rFonts w:asciiTheme="minorHAnsi" w:eastAsia="Times New Roman" w:hAnsiTheme="minorHAnsi" w:cstheme="minorHAnsi"/>
          <w:color w:val="000000"/>
          <w:sz w:val="22"/>
          <w:szCs w:val="22"/>
        </w:rPr>
        <w:t xml:space="preserve">. </w:t>
      </w:r>
      <w:r w:rsidRPr="0060648C">
        <w:rPr>
          <w:rFonts w:asciiTheme="minorHAnsi" w:eastAsia="Times New Roman" w:hAnsiTheme="minorHAnsi" w:cstheme="minorHAnsi"/>
          <w:sz w:val="22"/>
          <w:szCs w:val="22"/>
        </w:rPr>
        <w:t>In this context, the</w:t>
      </w:r>
      <w:r w:rsidRPr="0060648C">
        <w:rPr>
          <w:rFonts w:asciiTheme="minorHAnsi" w:eastAsia="Times New Roman" w:hAnsiTheme="minorHAnsi" w:cstheme="minorHAnsi"/>
          <w:color w:val="000000"/>
          <w:sz w:val="22"/>
          <w:szCs w:val="22"/>
        </w:rPr>
        <w:t xml:space="preserve"> </w:t>
      </w:r>
      <w:r w:rsidRPr="0060648C">
        <w:rPr>
          <w:rFonts w:asciiTheme="minorHAnsi" w:eastAsia="Times New Roman" w:hAnsiTheme="minorHAnsi" w:cstheme="minorHAnsi"/>
          <w:color w:val="000000"/>
          <w:sz w:val="22"/>
          <w:szCs w:val="22"/>
          <w:highlight w:val="white"/>
        </w:rPr>
        <w:t>CTC International Moot Court 2025</w:t>
      </w:r>
      <w:r w:rsidR="00D0077F">
        <w:rPr>
          <w:rFonts w:asciiTheme="minorHAnsi" w:eastAsia="Times New Roman" w:hAnsiTheme="minorHAnsi" w:cstheme="minorHAnsi"/>
          <w:color w:val="000000"/>
          <w:sz w:val="22"/>
          <w:szCs w:val="22"/>
          <w:highlight w:val="white"/>
        </w:rPr>
        <w:t>,</w:t>
      </w:r>
      <w:r w:rsidRPr="0060648C">
        <w:rPr>
          <w:rFonts w:asciiTheme="minorHAnsi" w:eastAsia="Times New Roman" w:hAnsiTheme="minorHAnsi" w:cstheme="minorHAnsi"/>
          <w:color w:val="000000"/>
          <w:sz w:val="22"/>
          <w:szCs w:val="22"/>
          <w:highlight w:val="white"/>
        </w:rPr>
        <w:t xml:space="preserve"> </w:t>
      </w:r>
      <w:r w:rsidRPr="0060648C">
        <w:rPr>
          <w:rFonts w:asciiTheme="minorHAnsi" w:eastAsia="Times New Roman" w:hAnsiTheme="minorHAnsi" w:cstheme="minorHAnsi"/>
          <w:sz w:val="22"/>
          <w:szCs w:val="22"/>
          <w:highlight w:val="white"/>
        </w:rPr>
        <w:t xml:space="preserve">conducted by the </w:t>
      </w:r>
      <w:r w:rsidR="004A7FAD" w:rsidRPr="004A7FAD">
        <w:rPr>
          <w:rFonts w:asciiTheme="minorHAnsi" w:hAnsiTheme="minorHAnsi" w:cstheme="minorHAnsi"/>
          <w:bCs/>
          <w:color w:val="000000" w:themeColor="text1"/>
          <w:sz w:val="22"/>
          <w:szCs w:val="22"/>
        </w:rPr>
        <w:t>Aviation Working Group</w:t>
      </w:r>
      <w:r w:rsidR="00D0077F">
        <w:rPr>
          <w:rFonts w:asciiTheme="minorHAnsi" w:eastAsia="Times New Roman" w:hAnsiTheme="minorHAnsi" w:cstheme="minorHAnsi"/>
          <w:sz w:val="22"/>
          <w:szCs w:val="22"/>
          <w:highlight w:val="white"/>
        </w:rPr>
        <w:t xml:space="preserve"> </w:t>
      </w:r>
      <w:r w:rsidRPr="0060648C">
        <w:rPr>
          <w:rFonts w:asciiTheme="minorHAnsi" w:eastAsia="Times New Roman" w:hAnsiTheme="minorHAnsi" w:cstheme="minorHAnsi"/>
          <w:sz w:val="22"/>
          <w:szCs w:val="22"/>
          <w:highlight w:val="white"/>
        </w:rPr>
        <w:t xml:space="preserve">and </w:t>
      </w:r>
      <w:r w:rsidRPr="00D0077F">
        <w:rPr>
          <w:rFonts w:asciiTheme="minorHAnsi" w:eastAsia="Times New Roman" w:hAnsiTheme="minorHAnsi" w:cstheme="minorHAnsi"/>
          <w:i/>
          <w:iCs/>
          <w:sz w:val="22"/>
          <w:szCs w:val="22"/>
          <w:highlight w:val="white"/>
        </w:rPr>
        <w:t>Trinity College Dublin</w:t>
      </w:r>
      <w:r w:rsidRPr="0060648C">
        <w:rPr>
          <w:rFonts w:asciiTheme="minorHAnsi" w:eastAsia="Times New Roman" w:hAnsiTheme="minorHAnsi" w:cstheme="minorHAnsi"/>
          <w:sz w:val="22"/>
          <w:szCs w:val="22"/>
          <w:highlight w:val="white"/>
        </w:rPr>
        <w:t xml:space="preserve"> (‘TCD’)</w:t>
      </w:r>
      <w:r w:rsidR="00D0077F">
        <w:rPr>
          <w:rFonts w:asciiTheme="minorHAnsi" w:eastAsia="Times New Roman" w:hAnsiTheme="minorHAnsi" w:cstheme="minorHAnsi"/>
          <w:sz w:val="22"/>
          <w:szCs w:val="22"/>
          <w:highlight w:val="white"/>
        </w:rPr>
        <w:t>,</w:t>
      </w:r>
      <w:r w:rsidRPr="0060648C">
        <w:rPr>
          <w:rFonts w:asciiTheme="minorHAnsi" w:eastAsia="Times New Roman" w:hAnsiTheme="minorHAnsi" w:cstheme="minorHAnsi"/>
          <w:color w:val="000000"/>
          <w:sz w:val="22"/>
          <w:szCs w:val="22"/>
          <w:highlight w:val="white"/>
        </w:rPr>
        <w:t xml:space="preserve"> </w:t>
      </w:r>
      <w:r w:rsidRPr="0060648C">
        <w:rPr>
          <w:rFonts w:asciiTheme="minorHAnsi" w:eastAsia="Times New Roman" w:hAnsiTheme="minorHAnsi" w:cstheme="minorHAnsi"/>
          <w:sz w:val="22"/>
          <w:szCs w:val="22"/>
          <w:highlight w:val="white"/>
        </w:rPr>
        <w:t xml:space="preserve">in which </w:t>
      </w:r>
      <w:r w:rsidRPr="0060648C">
        <w:rPr>
          <w:rFonts w:asciiTheme="minorHAnsi" w:eastAsia="Times New Roman" w:hAnsiTheme="minorHAnsi" w:cstheme="minorHAnsi"/>
          <w:color w:val="000000"/>
          <w:sz w:val="22"/>
          <w:szCs w:val="22"/>
          <w:highlight w:val="white"/>
        </w:rPr>
        <w:t>three ju</w:t>
      </w:r>
      <w:r w:rsidR="004A7FAD">
        <w:rPr>
          <w:rFonts w:asciiTheme="minorHAnsi" w:eastAsia="Times New Roman" w:hAnsiTheme="minorHAnsi" w:cstheme="minorHAnsi"/>
          <w:color w:val="000000"/>
          <w:sz w:val="22"/>
          <w:szCs w:val="22"/>
          <w:highlight w:val="white"/>
        </w:rPr>
        <w:t xml:space="preserve">dges </w:t>
      </w:r>
      <w:r w:rsidRPr="0060648C">
        <w:rPr>
          <w:rFonts w:asciiTheme="minorHAnsi" w:eastAsia="Times New Roman" w:hAnsiTheme="minorHAnsi" w:cstheme="minorHAnsi"/>
          <w:color w:val="000000"/>
          <w:sz w:val="22"/>
          <w:szCs w:val="22"/>
          <w:highlight w:val="white"/>
        </w:rPr>
        <w:t>participated</w:t>
      </w:r>
      <w:r w:rsidR="00C056E7" w:rsidRPr="0060648C">
        <w:rPr>
          <w:rFonts w:asciiTheme="minorHAnsi" w:eastAsia="Times New Roman" w:hAnsiTheme="minorHAnsi" w:cstheme="minorHAnsi"/>
          <w:color w:val="000000"/>
          <w:sz w:val="22"/>
          <w:szCs w:val="22"/>
          <w:highlight w:val="white"/>
        </w:rPr>
        <w:t>,</w:t>
      </w:r>
      <w:r w:rsidRPr="0060648C">
        <w:rPr>
          <w:rFonts w:asciiTheme="minorHAnsi" w:eastAsia="Times New Roman" w:hAnsiTheme="minorHAnsi" w:cstheme="minorHAnsi"/>
          <w:color w:val="000000"/>
          <w:sz w:val="22"/>
          <w:szCs w:val="22"/>
          <w:highlight w:val="white"/>
        </w:rPr>
        <w:t xml:space="preserve"> was a wonderful opportunity to engage students in this topi</w:t>
      </w:r>
      <w:r w:rsidRPr="0060648C">
        <w:rPr>
          <w:rFonts w:asciiTheme="minorHAnsi" w:eastAsia="Times New Roman" w:hAnsiTheme="minorHAnsi" w:cstheme="minorHAnsi"/>
          <w:sz w:val="22"/>
          <w:szCs w:val="22"/>
          <w:highlight w:val="white"/>
        </w:rPr>
        <w:t>c</w:t>
      </w:r>
      <w:r w:rsidRPr="0060648C">
        <w:rPr>
          <w:rFonts w:asciiTheme="minorHAnsi" w:eastAsia="Times New Roman" w:hAnsiTheme="minorHAnsi" w:cstheme="minorHAnsi"/>
          <w:color w:val="000000"/>
          <w:sz w:val="22"/>
          <w:szCs w:val="22"/>
          <w:highlight w:val="white"/>
        </w:rPr>
        <w:t>. Th</w:t>
      </w:r>
      <w:r w:rsidRPr="0060648C">
        <w:rPr>
          <w:rFonts w:asciiTheme="minorHAnsi" w:eastAsia="Times New Roman" w:hAnsiTheme="minorHAnsi" w:cstheme="minorHAnsi"/>
          <w:sz w:val="22"/>
          <w:szCs w:val="22"/>
          <w:highlight w:val="white"/>
        </w:rPr>
        <w:t>erefore, special gratitude was given to all of</w:t>
      </w:r>
      <w:r w:rsidRPr="0060648C">
        <w:rPr>
          <w:rFonts w:asciiTheme="minorHAnsi" w:eastAsia="Times New Roman" w:hAnsiTheme="minorHAnsi" w:cstheme="minorHAnsi"/>
          <w:color w:val="000000"/>
          <w:sz w:val="22"/>
          <w:szCs w:val="22"/>
          <w:highlight w:val="white"/>
        </w:rPr>
        <w:t xml:space="preserve"> the legal firms </w:t>
      </w:r>
      <w:r w:rsidR="00C056E7" w:rsidRPr="0060648C">
        <w:rPr>
          <w:rFonts w:asciiTheme="minorHAnsi" w:eastAsia="Times New Roman" w:hAnsiTheme="minorHAnsi" w:cstheme="minorHAnsi"/>
          <w:color w:val="000000"/>
          <w:sz w:val="22"/>
          <w:szCs w:val="22"/>
          <w:highlight w:val="white"/>
        </w:rPr>
        <w:t>involv</w:t>
      </w:r>
      <w:r w:rsidRPr="0060648C">
        <w:rPr>
          <w:rFonts w:asciiTheme="minorHAnsi" w:eastAsia="Times New Roman" w:hAnsiTheme="minorHAnsi" w:cstheme="minorHAnsi"/>
          <w:color w:val="000000"/>
          <w:sz w:val="22"/>
          <w:szCs w:val="22"/>
          <w:highlight w:val="white"/>
        </w:rPr>
        <w:t>ed in this project.</w:t>
      </w:r>
    </w:p>
    <w:p w14:paraId="00000031" w14:textId="77777777" w:rsidR="0001123C" w:rsidRPr="0060648C" w:rsidRDefault="00000000" w:rsidP="0060648C">
      <w:pPr>
        <w:spacing w:line="276" w:lineRule="auto"/>
        <w:contextualSpacing/>
        <w:jc w:val="both"/>
        <w:rPr>
          <w:rFonts w:asciiTheme="minorHAnsi" w:eastAsia="Times New Roman" w:hAnsiTheme="minorHAnsi" w:cstheme="minorHAnsi"/>
          <w:color w:val="000000"/>
          <w:sz w:val="22"/>
          <w:szCs w:val="22"/>
          <w:highlight w:val="white"/>
        </w:rPr>
      </w:pPr>
      <w:r w:rsidRPr="0060648C">
        <w:rPr>
          <w:rFonts w:asciiTheme="minorHAnsi" w:eastAsia="Times New Roman" w:hAnsiTheme="minorHAnsi" w:cstheme="minorHAnsi"/>
          <w:color w:val="000000"/>
          <w:sz w:val="22"/>
          <w:szCs w:val="22"/>
          <w:highlight w:val="white"/>
        </w:rPr>
        <w:t xml:space="preserve"> </w:t>
      </w:r>
    </w:p>
    <w:p w14:paraId="00000032" w14:textId="11913034" w:rsidR="0001123C" w:rsidRPr="0060648C" w:rsidRDefault="00000000" w:rsidP="0060648C">
      <w:pPr>
        <w:spacing w:line="276" w:lineRule="auto"/>
        <w:contextualSpacing/>
        <w:jc w:val="both"/>
        <w:rPr>
          <w:rFonts w:asciiTheme="minorHAnsi" w:eastAsia="Times New Roman" w:hAnsiTheme="minorHAnsi" w:cstheme="minorHAnsi"/>
          <w:color w:val="000000"/>
          <w:sz w:val="22"/>
          <w:szCs w:val="22"/>
        </w:rPr>
      </w:pPr>
      <w:r w:rsidRPr="0060648C">
        <w:rPr>
          <w:rFonts w:asciiTheme="minorHAnsi" w:eastAsia="Times New Roman" w:hAnsiTheme="minorHAnsi" w:cstheme="minorHAnsi"/>
          <w:color w:val="000000"/>
          <w:sz w:val="22"/>
          <w:szCs w:val="22"/>
        </w:rPr>
        <w:t xml:space="preserve">This second </w:t>
      </w:r>
      <w:r w:rsidR="00D0077F">
        <w:rPr>
          <w:rFonts w:asciiTheme="minorHAnsi" w:eastAsia="Times New Roman" w:hAnsiTheme="minorHAnsi" w:cstheme="minorHAnsi"/>
          <w:color w:val="000000"/>
          <w:sz w:val="22"/>
          <w:szCs w:val="22"/>
        </w:rPr>
        <w:t>symposium</w:t>
      </w:r>
      <w:r w:rsidRPr="0060648C">
        <w:rPr>
          <w:rFonts w:asciiTheme="minorHAnsi" w:eastAsia="Times New Roman" w:hAnsiTheme="minorHAnsi" w:cstheme="minorHAnsi"/>
          <w:color w:val="000000"/>
          <w:sz w:val="22"/>
          <w:szCs w:val="22"/>
        </w:rPr>
        <w:t xml:space="preserve"> is a comparative perspective of litigation. </w:t>
      </w:r>
      <w:r w:rsidR="00AB2B70">
        <w:rPr>
          <w:rFonts w:asciiTheme="minorHAnsi" w:eastAsia="Times New Roman" w:hAnsiTheme="minorHAnsi" w:cstheme="minorHAnsi"/>
          <w:color w:val="000000"/>
          <w:sz w:val="22"/>
          <w:szCs w:val="22"/>
        </w:rPr>
        <w:t>Prof</w:t>
      </w:r>
      <w:r w:rsidR="00C056E7" w:rsidRPr="0060648C">
        <w:rPr>
          <w:rFonts w:asciiTheme="minorHAnsi" w:eastAsia="Times New Roman" w:hAnsiTheme="minorHAnsi" w:cstheme="minorHAnsi"/>
          <w:color w:val="000000"/>
          <w:sz w:val="22"/>
          <w:szCs w:val="22"/>
        </w:rPr>
        <w:t>. Wool announced that t</w:t>
      </w:r>
      <w:r w:rsidRPr="0060648C">
        <w:rPr>
          <w:rFonts w:asciiTheme="minorHAnsi" w:eastAsia="Times New Roman" w:hAnsiTheme="minorHAnsi" w:cstheme="minorHAnsi"/>
          <w:color w:val="000000"/>
          <w:sz w:val="22"/>
          <w:szCs w:val="22"/>
        </w:rPr>
        <w:t>he next event</w:t>
      </w:r>
      <w:r w:rsidR="00D0077F">
        <w:rPr>
          <w:rFonts w:asciiTheme="minorHAnsi" w:eastAsia="Times New Roman" w:hAnsiTheme="minorHAnsi" w:cstheme="minorHAnsi"/>
          <w:color w:val="000000"/>
          <w:sz w:val="22"/>
          <w:szCs w:val="22"/>
        </w:rPr>
        <w:t xml:space="preserve"> </w:t>
      </w:r>
      <w:r w:rsidRPr="0060648C">
        <w:rPr>
          <w:rFonts w:asciiTheme="minorHAnsi" w:eastAsia="Times New Roman" w:hAnsiTheme="minorHAnsi" w:cstheme="minorHAnsi"/>
          <w:color w:val="000000"/>
          <w:sz w:val="22"/>
          <w:szCs w:val="22"/>
        </w:rPr>
        <w:t xml:space="preserve">will </w:t>
      </w:r>
      <w:r w:rsidR="00C056E7" w:rsidRPr="0060648C">
        <w:rPr>
          <w:rFonts w:asciiTheme="minorHAnsi" w:eastAsia="Times New Roman" w:hAnsiTheme="minorHAnsi" w:cstheme="minorHAnsi"/>
          <w:color w:val="000000"/>
          <w:sz w:val="22"/>
          <w:szCs w:val="22"/>
        </w:rPr>
        <w:t>focus</w:t>
      </w:r>
      <w:r w:rsidRPr="0060648C">
        <w:rPr>
          <w:rFonts w:asciiTheme="minorHAnsi" w:eastAsia="Times New Roman" w:hAnsiTheme="minorHAnsi" w:cstheme="minorHAnsi"/>
          <w:color w:val="000000"/>
          <w:sz w:val="22"/>
          <w:szCs w:val="22"/>
        </w:rPr>
        <w:t xml:space="preserve"> on </w:t>
      </w:r>
      <w:r w:rsidR="00C056E7" w:rsidRPr="0060648C">
        <w:rPr>
          <w:rFonts w:asciiTheme="minorHAnsi" w:eastAsia="Times New Roman" w:hAnsiTheme="minorHAnsi" w:cstheme="minorHAnsi"/>
          <w:color w:val="000000"/>
          <w:sz w:val="22"/>
          <w:szCs w:val="22"/>
        </w:rPr>
        <w:t>assessing</w:t>
      </w:r>
      <w:r w:rsidRPr="0060648C">
        <w:rPr>
          <w:rFonts w:asciiTheme="minorHAnsi" w:eastAsia="Times New Roman" w:hAnsiTheme="minorHAnsi" w:cstheme="minorHAnsi"/>
          <w:color w:val="000000"/>
          <w:sz w:val="22"/>
          <w:szCs w:val="22"/>
        </w:rPr>
        <w:t xml:space="preserve"> jurisdictional risk around the world. </w:t>
      </w:r>
      <w:r w:rsidRPr="0060648C">
        <w:rPr>
          <w:rFonts w:asciiTheme="minorHAnsi" w:eastAsia="Times New Roman" w:hAnsiTheme="minorHAnsi" w:cstheme="minorHAnsi"/>
          <w:sz w:val="22"/>
          <w:szCs w:val="22"/>
        </w:rPr>
        <w:t>Also</w:t>
      </w:r>
      <w:r w:rsidR="00C056E7" w:rsidRPr="0060648C">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 xml:space="preserve"> post-symposium</w:t>
      </w:r>
      <w:r w:rsidRPr="0060648C">
        <w:rPr>
          <w:rFonts w:asciiTheme="minorHAnsi" w:eastAsia="Times New Roman" w:hAnsiTheme="minorHAnsi" w:cstheme="minorHAnsi"/>
          <w:color w:val="000000"/>
          <w:sz w:val="22"/>
          <w:szCs w:val="22"/>
        </w:rPr>
        <w:t xml:space="preserve"> steps will be </w:t>
      </w:r>
      <w:r w:rsidR="00D0077F">
        <w:rPr>
          <w:rFonts w:asciiTheme="minorHAnsi" w:eastAsia="Times New Roman" w:hAnsiTheme="minorHAnsi" w:cstheme="minorHAnsi"/>
          <w:color w:val="000000"/>
          <w:sz w:val="22"/>
          <w:szCs w:val="22"/>
        </w:rPr>
        <w:t>discussed</w:t>
      </w:r>
      <w:r w:rsidRPr="0060648C">
        <w:rPr>
          <w:rFonts w:asciiTheme="minorHAnsi" w:eastAsia="Times New Roman" w:hAnsiTheme="minorHAnsi" w:cstheme="minorHAnsi"/>
          <w:color w:val="000000"/>
          <w:sz w:val="22"/>
          <w:szCs w:val="22"/>
        </w:rPr>
        <w:t>, including further research</w:t>
      </w:r>
      <w:r w:rsidR="00C056E7" w:rsidRPr="0060648C">
        <w:rPr>
          <w:rFonts w:asciiTheme="minorHAnsi" w:eastAsia="Times New Roman" w:hAnsiTheme="minorHAnsi" w:cstheme="minorHAnsi"/>
          <w:color w:val="000000"/>
          <w:sz w:val="22"/>
          <w:szCs w:val="22"/>
        </w:rPr>
        <w:t xml:space="preserve"> topics</w:t>
      </w:r>
      <w:r w:rsidRPr="0060648C">
        <w:rPr>
          <w:rFonts w:asciiTheme="minorHAnsi" w:eastAsia="Times New Roman" w:hAnsiTheme="minorHAnsi" w:cstheme="minorHAnsi"/>
          <w:color w:val="000000"/>
          <w:sz w:val="22"/>
          <w:szCs w:val="22"/>
        </w:rPr>
        <w:t>.</w:t>
      </w:r>
      <w:r w:rsidRPr="0060648C">
        <w:rPr>
          <w:rFonts w:asciiTheme="minorHAnsi" w:eastAsia="Times New Roman" w:hAnsiTheme="minorHAnsi" w:cstheme="minorHAnsi"/>
          <w:sz w:val="22"/>
          <w:szCs w:val="22"/>
        </w:rPr>
        <w:t xml:space="preserve"> We hope that, at these events, we take an academic approach </w:t>
      </w:r>
      <w:r w:rsidR="00C056E7" w:rsidRPr="0060648C">
        <w:rPr>
          <w:rFonts w:asciiTheme="minorHAnsi" w:eastAsia="Times New Roman" w:hAnsiTheme="minorHAnsi" w:cstheme="minorHAnsi"/>
          <w:sz w:val="22"/>
          <w:szCs w:val="22"/>
        </w:rPr>
        <w:t xml:space="preserve">utilizing a </w:t>
      </w:r>
      <w:r w:rsidRPr="0060648C">
        <w:rPr>
          <w:rFonts w:asciiTheme="minorHAnsi" w:eastAsia="Times New Roman" w:hAnsiTheme="minorHAnsi" w:cstheme="minorHAnsi"/>
          <w:sz w:val="22"/>
          <w:szCs w:val="22"/>
        </w:rPr>
        <w:t xml:space="preserve">comparative method. This involves identifying common problems that everyone is facing, examining how different systems address these problems, considering the advantages and disadvantages of these approaches, </w:t>
      </w:r>
      <w:r w:rsidR="00C056E7" w:rsidRPr="0060648C">
        <w:rPr>
          <w:rFonts w:asciiTheme="minorHAnsi" w:eastAsia="Times New Roman" w:hAnsiTheme="minorHAnsi" w:cstheme="minorHAnsi"/>
          <w:sz w:val="22"/>
          <w:szCs w:val="22"/>
        </w:rPr>
        <w:t>as well as</w:t>
      </w:r>
      <w:r w:rsidRPr="0060648C">
        <w:rPr>
          <w:rFonts w:asciiTheme="minorHAnsi" w:eastAsia="Times New Roman" w:hAnsiTheme="minorHAnsi" w:cstheme="minorHAnsi"/>
          <w:sz w:val="22"/>
          <w:szCs w:val="22"/>
        </w:rPr>
        <w:t xml:space="preserve"> evaluating the best practices.</w:t>
      </w:r>
    </w:p>
    <w:p w14:paraId="00000033" w14:textId="77777777" w:rsidR="0001123C" w:rsidRPr="0060648C" w:rsidRDefault="0001123C" w:rsidP="0060648C">
      <w:pPr>
        <w:spacing w:line="276" w:lineRule="auto"/>
        <w:contextualSpacing/>
        <w:jc w:val="both"/>
        <w:rPr>
          <w:rFonts w:asciiTheme="minorHAnsi" w:eastAsia="Times New Roman" w:hAnsiTheme="minorHAnsi" w:cstheme="minorHAnsi"/>
          <w:color w:val="000000"/>
          <w:sz w:val="22"/>
          <w:szCs w:val="22"/>
        </w:rPr>
      </w:pPr>
    </w:p>
    <w:p w14:paraId="00000034" w14:textId="52D2BEFE" w:rsidR="0001123C" w:rsidRPr="0060648C" w:rsidRDefault="00C056E7" w:rsidP="0060648C">
      <w:pPr>
        <w:spacing w:line="276" w:lineRule="auto"/>
        <w:contextualSpacing/>
        <w:jc w:val="both"/>
        <w:rPr>
          <w:rFonts w:asciiTheme="minorHAnsi" w:hAnsiTheme="minorHAnsi" w:cstheme="minorHAnsi"/>
          <w:color w:val="0569B9"/>
          <w:sz w:val="32"/>
          <w:szCs w:val="32"/>
        </w:rPr>
      </w:pPr>
      <w:r w:rsidRPr="0060648C">
        <w:rPr>
          <w:rFonts w:asciiTheme="minorHAnsi" w:eastAsia="Times New Roman" w:hAnsiTheme="minorHAnsi" w:cstheme="minorHAnsi"/>
          <w:color w:val="000000" w:themeColor="text1"/>
          <w:sz w:val="22"/>
          <w:szCs w:val="22"/>
        </w:rPr>
        <w:t xml:space="preserve">The </w:t>
      </w:r>
      <w:r w:rsidRPr="00D0077F">
        <w:rPr>
          <w:rFonts w:asciiTheme="minorHAnsi" w:hAnsiTheme="minorHAnsi" w:cstheme="minorHAnsi"/>
          <w:i/>
          <w:iCs/>
          <w:color w:val="000000" w:themeColor="text1"/>
          <w:sz w:val="22"/>
          <w:szCs w:val="22"/>
        </w:rPr>
        <w:t>Transnational Commercial and Leasing Law Project</w:t>
      </w:r>
      <w:r w:rsidRPr="0060648C">
        <w:rPr>
          <w:rFonts w:asciiTheme="minorHAnsi" w:hAnsiTheme="minorHAnsi" w:cstheme="minorHAnsi"/>
          <w:color w:val="000000" w:themeColor="text1"/>
          <w:sz w:val="22"/>
          <w:szCs w:val="22"/>
        </w:rPr>
        <w:t xml:space="preserve"> </w:t>
      </w:r>
      <w:r w:rsidRPr="0060648C">
        <w:rPr>
          <w:rFonts w:asciiTheme="minorHAnsi" w:eastAsia="Times New Roman" w:hAnsiTheme="minorHAnsi" w:cstheme="minorHAnsi"/>
          <w:color w:val="000000" w:themeColor="text1"/>
          <w:sz w:val="22"/>
          <w:szCs w:val="22"/>
        </w:rPr>
        <w:t>objectiv</w:t>
      </w:r>
      <w:r w:rsidRPr="0060648C">
        <w:rPr>
          <w:rFonts w:asciiTheme="minorHAnsi" w:eastAsia="Times New Roman" w:hAnsiTheme="minorHAnsi" w:cstheme="minorHAnsi"/>
          <w:color w:val="000000"/>
          <w:sz w:val="22"/>
          <w:szCs w:val="22"/>
        </w:rPr>
        <w:t xml:space="preserve">es include the development of legal theory, an assessment of dispute resolution practice and litigation, and public policies. </w:t>
      </w:r>
    </w:p>
    <w:p w14:paraId="00000035" w14:textId="77777777" w:rsidR="0001123C" w:rsidRPr="0060648C" w:rsidRDefault="0001123C" w:rsidP="0060648C">
      <w:pPr>
        <w:spacing w:line="276" w:lineRule="auto"/>
        <w:contextualSpacing/>
        <w:jc w:val="both"/>
        <w:rPr>
          <w:rFonts w:asciiTheme="minorHAnsi" w:eastAsia="Times New Roman" w:hAnsiTheme="minorHAnsi" w:cstheme="minorHAnsi"/>
          <w:b/>
          <w:color w:val="7030A0"/>
          <w:sz w:val="22"/>
          <w:szCs w:val="22"/>
        </w:rPr>
      </w:pPr>
    </w:p>
    <w:p w14:paraId="00000036" w14:textId="77777777" w:rsidR="0001123C" w:rsidRPr="00D0077F" w:rsidRDefault="00000000" w:rsidP="0060648C">
      <w:pPr>
        <w:spacing w:line="276" w:lineRule="auto"/>
        <w:contextualSpacing/>
        <w:jc w:val="both"/>
        <w:rPr>
          <w:rFonts w:asciiTheme="minorHAnsi" w:eastAsia="Times New Roman" w:hAnsiTheme="minorHAnsi" w:cstheme="minorHAnsi"/>
          <w:b/>
          <w:color w:val="7030A0"/>
          <w:sz w:val="22"/>
          <w:szCs w:val="22"/>
        </w:rPr>
      </w:pPr>
      <w:r w:rsidRPr="00D0077F">
        <w:rPr>
          <w:rFonts w:asciiTheme="minorHAnsi" w:eastAsia="Times New Roman" w:hAnsiTheme="minorHAnsi" w:cstheme="minorHAnsi"/>
          <w:b/>
          <w:color w:val="000000"/>
          <w:sz w:val="22"/>
          <w:szCs w:val="22"/>
        </w:rPr>
        <w:t>14.25 – 14.55:     Topic 1: The public availability of pleadings and submissions (lack of public dockets)</w:t>
      </w:r>
    </w:p>
    <w:p w14:paraId="00000037" w14:textId="77777777" w:rsidR="0001123C" w:rsidRPr="0060648C" w:rsidRDefault="0001123C" w:rsidP="0060648C">
      <w:pPr>
        <w:spacing w:line="276" w:lineRule="auto"/>
        <w:contextualSpacing/>
        <w:jc w:val="both"/>
        <w:rPr>
          <w:rFonts w:asciiTheme="minorHAnsi" w:eastAsia="Times New Roman" w:hAnsiTheme="minorHAnsi" w:cstheme="minorHAnsi"/>
          <w:color w:val="7030A0"/>
          <w:sz w:val="22"/>
          <w:szCs w:val="22"/>
        </w:rPr>
      </w:pPr>
    </w:p>
    <w:p w14:paraId="6598FB01" w14:textId="69DAC8CD" w:rsidR="00304BA4" w:rsidRPr="0060648C" w:rsidRDefault="00C056E7"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b/>
          <w:sz w:val="22"/>
          <w:szCs w:val="22"/>
        </w:rPr>
        <w:t xml:space="preserve">Mr. Cillian O’Boyle </w:t>
      </w:r>
      <w:r w:rsidRPr="0060648C">
        <w:rPr>
          <w:rFonts w:asciiTheme="minorHAnsi" w:eastAsia="Times New Roman" w:hAnsiTheme="minorHAnsi" w:cstheme="minorHAnsi"/>
          <w:sz w:val="22"/>
          <w:szCs w:val="22"/>
        </w:rPr>
        <w:t xml:space="preserve">and </w:t>
      </w:r>
      <w:r w:rsidR="006B6B15" w:rsidRPr="0060648C">
        <w:rPr>
          <w:rFonts w:asciiTheme="minorHAnsi" w:eastAsia="Times New Roman" w:hAnsiTheme="minorHAnsi" w:cstheme="minorHAnsi"/>
          <w:b/>
          <w:bCs/>
          <w:sz w:val="22"/>
          <w:szCs w:val="22"/>
        </w:rPr>
        <w:t xml:space="preserve">Ms. </w:t>
      </w:r>
      <w:r w:rsidRPr="0060648C">
        <w:rPr>
          <w:rFonts w:asciiTheme="minorHAnsi" w:eastAsia="Times New Roman" w:hAnsiTheme="minorHAnsi" w:cstheme="minorHAnsi"/>
          <w:b/>
          <w:bCs/>
          <w:sz w:val="22"/>
          <w:szCs w:val="22"/>
        </w:rPr>
        <w:t>Julie</w:t>
      </w:r>
      <w:r w:rsidRPr="0060648C">
        <w:rPr>
          <w:rFonts w:asciiTheme="minorHAnsi" w:eastAsia="Times New Roman" w:hAnsiTheme="minorHAnsi" w:cstheme="minorHAnsi"/>
          <w:b/>
          <w:sz w:val="22"/>
          <w:szCs w:val="22"/>
        </w:rPr>
        <w:t xml:space="preserve"> Murphy O’Connor </w:t>
      </w:r>
      <w:r w:rsidRPr="0060648C">
        <w:rPr>
          <w:rFonts w:asciiTheme="minorHAnsi" w:eastAsia="Times New Roman" w:hAnsiTheme="minorHAnsi" w:cstheme="minorHAnsi"/>
          <w:sz w:val="22"/>
          <w:szCs w:val="22"/>
        </w:rPr>
        <w:t>(</w:t>
      </w:r>
      <w:r w:rsidRPr="0060648C">
        <w:rPr>
          <w:rFonts w:asciiTheme="minorHAnsi" w:eastAsia="Times New Roman" w:hAnsiTheme="minorHAnsi" w:cstheme="minorHAnsi"/>
          <w:i/>
          <w:iCs/>
          <w:sz w:val="22"/>
          <w:szCs w:val="22"/>
        </w:rPr>
        <w:t>Matheson</w:t>
      </w:r>
      <w:r w:rsidR="006B6B15" w:rsidRPr="0060648C">
        <w:rPr>
          <w:rFonts w:asciiTheme="minorHAnsi" w:eastAsia="Times New Roman" w:hAnsiTheme="minorHAnsi" w:cstheme="minorHAnsi"/>
          <w:i/>
          <w:iCs/>
          <w:sz w:val="22"/>
          <w:szCs w:val="22"/>
        </w:rPr>
        <w:t xml:space="preserve"> LLP</w:t>
      </w:r>
      <w:r w:rsidRPr="0060648C">
        <w:rPr>
          <w:rFonts w:asciiTheme="minorHAnsi" w:eastAsia="Times New Roman" w:hAnsiTheme="minorHAnsi" w:cstheme="minorHAnsi"/>
          <w:sz w:val="22"/>
          <w:szCs w:val="22"/>
        </w:rPr>
        <w:t xml:space="preserve">) opened the </w:t>
      </w:r>
      <w:r w:rsidR="00D0077F">
        <w:rPr>
          <w:rFonts w:asciiTheme="minorHAnsi" w:eastAsia="Times New Roman" w:hAnsiTheme="minorHAnsi" w:cstheme="minorHAnsi"/>
          <w:sz w:val="22"/>
          <w:szCs w:val="22"/>
        </w:rPr>
        <w:t>second S</w:t>
      </w:r>
      <w:r w:rsidRPr="0060648C">
        <w:rPr>
          <w:rFonts w:asciiTheme="minorHAnsi" w:eastAsia="Times New Roman" w:hAnsiTheme="minorHAnsi" w:cstheme="minorHAnsi"/>
          <w:sz w:val="22"/>
          <w:szCs w:val="22"/>
        </w:rPr>
        <w:t xml:space="preserve">ymposium with an engaging presentation on the question of public availability of litigation documents and the way different legal systems strike a balance between public interest and privacy. The approach they adopted </w:t>
      </w:r>
      <w:r w:rsidRPr="0060648C">
        <w:rPr>
          <w:rFonts w:asciiTheme="minorHAnsi" w:eastAsia="Times New Roman" w:hAnsiTheme="minorHAnsi" w:cstheme="minorHAnsi"/>
          <w:sz w:val="22"/>
          <w:szCs w:val="22"/>
        </w:rPr>
        <w:lastRenderedPageBreak/>
        <w:t xml:space="preserve">first identified the common problems raised by public availability of pleadings and then analysed how different jurisdictions have addressed these problems. </w:t>
      </w:r>
    </w:p>
    <w:p w14:paraId="5D41759F" w14:textId="77777777" w:rsidR="00304BA4" w:rsidRPr="0060648C" w:rsidRDefault="00304BA4" w:rsidP="0060648C">
      <w:pPr>
        <w:spacing w:line="276" w:lineRule="auto"/>
        <w:contextualSpacing/>
        <w:jc w:val="both"/>
        <w:rPr>
          <w:rFonts w:asciiTheme="minorHAnsi" w:eastAsia="Times New Roman" w:hAnsiTheme="minorHAnsi" w:cstheme="minorHAnsi"/>
          <w:sz w:val="22"/>
          <w:szCs w:val="22"/>
        </w:rPr>
      </w:pPr>
    </w:p>
    <w:p w14:paraId="00000038" w14:textId="38E250C5" w:rsidR="0001123C" w:rsidRPr="0060648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 xml:space="preserve">The analysis was split into three headings: </w:t>
      </w:r>
      <w:r w:rsidR="006B6B15" w:rsidRPr="0060648C">
        <w:rPr>
          <w:rFonts w:asciiTheme="minorHAnsi" w:eastAsia="Times New Roman" w:hAnsiTheme="minorHAnsi" w:cstheme="minorHAnsi"/>
          <w:sz w:val="22"/>
          <w:szCs w:val="22"/>
        </w:rPr>
        <w:t>(</w:t>
      </w:r>
      <w:proofErr w:type="spellStart"/>
      <w:r w:rsidR="006B6B15" w:rsidRPr="0060648C">
        <w:rPr>
          <w:rFonts w:asciiTheme="minorHAnsi" w:eastAsia="Times New Roman" w:hAnsiTheme="minorHAnsi" w:cstheme="minorHAnsi"/>
          <w:sz w:val="22"/>
          <w:szCs w:val="22"/>
        </w:rPr>
        <w:t>i</w:t>
      </w:r>
      <w:proofErr w:type="spellEnd"/>
      <w:r w:rsidR="006B6B15" w:rsidRPr="0060648C">
        <w:rPr>
          <w:rFonts w:asciiTheme="minorHAnsi" w:eastAsia="Times New Roman" w:hAnsiTheme="minorHAnsi" w:cstheme="minorHAnsi"/>
          <w:sz w:val="22"/>
          <w:szCs w:val="22"/>
        </w:rPr>
        <w:t>) a</w:t>
      </w:r>
      <w:r w:rsidRPr="0060648C">
        <w:rPr>
          <w:rFonts w:asciiTheme="minorHAnsi" w:eastAsia="Times New Roman" w:hAnsiTheme="minorHAnsi" w:cstheme="minorHAnsi"/>
          <w:sz w:val="22"/>
          <w:szCs w:val="22"/>
        </w:rPr>
        <w:t>ccess to documents filed in court</w:t>
      </w:r>
      <w:r w:rsidR="006B6B15" w:rsidRPr="0060648C">
        <w:rPr>
          <w:rFonts w:asciiTheme="minorHAnsi" w:eastAsia="Times New Roman" w:hAnsiTheme="minorHAnsi" w:cstheme="minorHAnsi"/>
          <w:sz w:val="22"/>
          <w:szCs w:val="22"/>
        </w:rPr>
        <w:t>; (ii) p</w:t>
      </w:r>
      <w:r w:rsidRPr="0060648C">
        <w:rPr>
          <w:rFonts w:asciiTheme="minorHAnsi" w:eastAsia="Times New Roman" w:hAnsiTheme="minorHAnsi" w:cstheme="minorHAnsi"/>
          <w:sz w:val="22"/>
          <w:szCs w:val="22"/>
        </w:rPr>
        <w:t>ublic evidence documents</w:t>
      </w:r>
      <w:r w:rsidR="006B6B15" w:rsidRPr="0060648C">
        <w:rPr>
          <w:rFonts w:asciiTheme="minorHAnsi" w:eastAsia="Times New Roman" w:hAnsiTheme="minorHAnsi" w:cstheme="minorHAnsi"/>
          <w:sz w:val="22"/>
          <w:szCs w:val="22"/>
        </w:rPr>
        <w:t xml:space="preserve">, </w:t>
      </w:r>
      <w:r w:rsidRPr="0060648C">
        <w:rPr>
          <w:rFonts w:asciiTheme="minorHAnsi" w:eastAsia="Times New Roman" w:hAnsiTheme="minorHAnsi" w:cstheme="minorHAnsi"/>
          <w:sz w:val="22"/>
          <w:szCs w:val="22"/>
        </w:rPr>
        <w:t xml:space="preserve">and </w:t>
      </w:r>
      <w:r w:rsidR="006B6B15" w:rsidRPr="0060648C">
        <w:rPr>
          <w:rFonts w:asciiTheme="minorHAnsi" w:eastAsia="Times New Roman" w:hAnsiTheme="minorHAnsi" w:cstheme="minorHAnsi"/>
          <w:sz w:val="22"/>
          <w:szCs w:val="22"/>
        </w:rPr>
        <w:t xml:space="preserve">(iii) </w:t>
      </w:r>
      <w:r w:rsidRPr="0060648C">
        <w:rPr>
          <w:rFonts w:asciiTheme="minorHAnsi" w:eastAsia="Times New Roman" w:hAnsiTheme="minorHAnsi" w:cstheme="minorHAnsi"/>
          <w:sz w:val="22"/>
          <w:szCs w:val="22"/>
        </w:rPr>
        <w:t xml:space="preserve">implied undertaking/collateral use of documents in court. The jurisdictions examined were Ireland, England and Wales, and New York. </w:t>
      </w:r>
    </w:p>
    <w:p w14:paraId="00000039" w14:textId="77777777" w:rsidR="0001123C" w:rsidRPr="0060648C" w:rsidRDefault="0001123C" w:rsidP="0060648C">
      <w:pPr>
        <w:spacing w:line="276" w:lineRule="auto"/>
        <w:contextualSpacing/>
        <w:jc w:val="both"/>
        <w:rPr>
          <w:rFonts w:asciiTheme="minorHAnsi" w:eastAsia="Times New Roman" w:hAnsiTheme="minorHAnsi" w:cstheme="minorHAnsi"/>
          <w:sz w:val="22"/>
          <w:szCs w:val="22"/>
        </w:rPr>
      </w:pPr>
    </w:p>
    <w:p w14:paraId="64E18568" w14:textId="1D599C38" w:rsidR="006B6B15" w:rsidRPr="0060648C" w:rsidRDefault="006B6B15"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w:t>
      </w:r>
      <w:proofErr w:type="spellStart"/>
      <w:r w:rsidRPr="0060648C">
        <w:rPr>
          <w:rFonts w:asciiTheme="minorHAnsi" w:eastAsia="Times New Roman" w:hAnsiTheme="minorHAnsi" w:cstheme="minorHAnsi"/>
          <w:sz w:val="22"/>
          <w:szCs w:val="22"/>
        </w:rPr>
        <w:t>i</w:t>
      </w:r>
      <w:proofErr w:type="spellEnd"/>
      <w:r w:rsidRPr="0060648C">
        <w:rPr>
          <w:rFonts w:asciiTheme="minorHAnsi" w:eastAsia="Times New Roman" w:hAnsiTheme="minorHAnsi" w:cstheme="minorHAnsi"/>
          <w:sz w:val="22"/>
          <w:szCs w:val="22"/>
        </w:rPr>
        <w:t xml:space="preserve">) </w:t>
      </w:r>
      <w:r w:rsidRPr="0060648C">
        <w:rPr>
          <w:rFonts w:asciiTheme="minorHAnsi" w:eastAsia="Times New Roman" w:hAnsiTheme="minorHAnsi" w:cstheme="minorHAnsi"/>
          <w:sz w:val="22"/>
          <w:szCs w:val="22"/>
          <w:u w:val="single"/>
        </w:rPr>
        <w:t>Access to documents filed in court</w:t>
      </w:r>
      <w:r w:rsidRPr="0060648C">
        <w:rPr>
          <w:rFonts w:asciiTheme="minorHAnsi" w:eastAsia="Times New Roman" w:hAnsiTheme="minorHAnsi" w:cstheme="minorHAnsi"/>
          <w:sz w:val="22"/>
          <w:szCs w:val="22"/>
        </w:rPr>
        <w:t>:</w:t>
      </w:r>
    </w:p>
    <w:p w14:paraId="1DB8EE3C" w14:textId="77777777" w:rsidR="00304BA4" w:rsidRPr="0060648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 xml:space="preserve">On access to documents filed in court, Ireland has certain rules applicable. Non-parties to the case do not have access to the court documents unless they have obtained a letter of consent from the parties. Accordingly, members of the public must either attend the court proceedings or rely on journalistic reporting. Journalists tend to enjoy special privileges, which may include access to court records that are not publicly available on the court service website. At the High Court and Supreme Court of Ireland, there is limited access to written submissions (including pleadings). This access only exists after judgment has been given and requires the payment of an application fee. It is subject to approval by the registrar of the respective </w:t>
      </w:r>
      <w:r w:rsidR="00304BA4" w:rsidRPr="0060648C">
        <w:rPr>
          <w:rFonts w:asciiTheme="minorHAnsi" w:eastAsia="Times New Roman" w:hAnsiTheme="minorHAnsi" w:cstheme="minorHAnsi"/>
          <w:sz w:val="22"/>
          <w:szCs w:val="22"/>
        </w:rPr>
        <w:t>C</w:t>
      </w:r>
      <w:r w:rsidRPr="0060648C">
        <w:rPr>
          <w:rFonts w:asciiTheme="minorHAnsi" w:eastAsia="Times New Roman" w:hAnsiTheme="minorHAnsi" w:cstheme="minorHAnsi"/>
          <w:sz w:val="22"/>
          <w:szCs w:val="22"/>
        </w:rPr>
        <w:t xml:space="preserve">ourt. </w:t>
      </w:r>
    </w:p>
    <w:p w14:paraId="30F2C5EB" w14:textId="77777777" w:rsidR="00304BA4" w:rsidRPr="0060648C" w:rsidRDefault="00304BA4" w:rsidP="0060648C">
      <w:pPr>
        <w:spacing w:line="276" w:lineRule="auto"/>
        <w:contextualSpacing/>
        <w:jc w:val="both"/>
        <w:rPr>
          <w:rFonts w:asciiTheme="minorHAnsi" w:eastAsia="Times New Roman" w:hAnsiTheme="minorHAnsi" w:cstheme="minorHAnsi"/>
          <w:sz w:val="22"/>
          <w:szCs w:val="22"/>
        </w:rPr>
      </w:pPr>
    </w:p>
    <w:p w14:paraId="0000003A" w14:textId="1280DA3F" w:rsidR="0001123C" w:rsidRPr="0060648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In England,</w:t>
      </w:r>
      <w:r w:rsidR="00304BA4" w:rsidRPr="0060648C">
        <w:rPr>
          <w:rFonts w:asciiTheme="minorHAnsi" w:eastAsia="Times New Roman" w:hAnsiTheme="minorHAnsi" w:cstheme="minorHAnsi"/>
          <w:sz w:val="22"/>
          <w:szCs w:val="22"/>
        </w:rPr>
        <w:t xml:space="preserve"> </w:t>
      </w:r>
      <w:r w:rsidRPr="0060648C">
        <w:rPr>
          <w:rFonts w:asciiTheme="minorHAnsi" w:eastAsia="Times New Roman" w:hAnsiTheme="minorHAnsi" w:cstheme="minorHAnsi"/>
          <w:sz w:val="22"/>
          <w:szCs w:val="22"/>
        </w:rPr>
        <w:t>non-parties are permitted to access documents that have not been filed in court</w:t>
      </w:r>
      <w:r w:rsidR="00304BA4" w:rsidRPr="0060648C">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 xml:space="preserve"> and this access does not require permission </w:t>
      </w:r>
      <w:r w:rsidR="00304BA4" w:rsidRPr="0060648C">
        <w:rPr>
          <w:rFonts w:asciiTheme="minorHAnsi" w:eastAsia="Times New Roman" w:hAnsiTheme="minorHAnsi" w:cstheme="minorHAnsi"/>
          <w:sz w:val="22"/>
          <w:szCs w:val="22"/>
        </w:rPr>
        <w:t>from</w:t>
      </w:r>
      <w:r w:rsidRPr="0060648C">
        <w:rPr>
          <w:rFonts w:asciiTheme="minorHAnsi" w:eastAsia="Times New Roman" w:hAnsiTheme="minorHAnsi" w:cstheme="minorHAnsi"/>
          <w:sz w:val="22"/>
          <w:szCs w:val="22"/>
        </w:rPr>
        <w:t xml:space="preserve"> the </w:t>
      </w:r>
      <w:r w:rsidR="00304BA4" w:rsidRPr="0060648C">
        <w:rPr>
          <w:rFonts w:asciiTheme="minorHAnsi" w:eastAsia="Times New Roman" w:hAnsiTheme="minorHAnsi" w:cstheme="minorHAnsi"/>
          <w:sz w:val="22"/>
          <w:szCs w:val="22"/>
        </w:rPr>
        <w:t>C</w:t>
      </w:r>
      <w:r w:rsidRPr="0060648C">
        <w:rPr>
          <w:rFonts w:asciiTheme="minorHAnsi" w:eastAsia="Times New Roman" w:hAnsiTheme="minorHAnsi" w:cstheme="minorHAnsi"/>
          <w:sz w:val="22"/>
          <w:szCs w:val="22"/>
        </w:rPr>
        <w:t>ourt. The a</w:t>
      </w:r>
      <w:r w:rsidR="00304BA4" w:rsidRPr="0060648C">
        <w:rPr>
          <w:rFonts w:asciiTheme="minorHAnsi" w:eastAsia="Times New Roman" w:hAnsiTheme="minorHAnsi" w:cstheme="minorHAnsi"/>
          <w:sz w:val="22"/>
          <w:szCs w:val="22"/>
        </w:rPr>
        <w:t>ccess</w:t>
      </w:r>
      <w:r w:rsidRPr="0060648C">
        <w:rPr>
          <w:rFonts w:asciiTheme="minorHAnsi" w:eastAsia="Times New Roman" w:hAnsiTheme="minorHAnsi" w:cstheme="minorHAnsi"/>
          <w:sz w:val="22"/>
          <w:szCs w:val="22"/>
        </w:rPr>
        <w:t xml:space="preserve"> a</w:t>
      </w:r>
      <w:r w:rsidR="00304BA4" w:rsidRPr="0060648C">
        <w:rPr>
          <w:rFonts w:asciiTheme="minorHAnsi" w:eastAsia="Times New Roman" w:hAnsiTheme="minorHAnsi" w:cstheme="minorHAnsi"/>
          <w:sz w:val="22"/>
          <w:szCs w:val="22"/>
        </w:rPr>
        <w:t>pplication</w:t>
      </w:r>
      <w:r w:rsidRPr="0060648C">
        <w:rPr>
          <w:rFonts w:asciiTheme="minorHAnsi" w:eastAsia="Times New Roman" w:hAnsiTheme="minorHAnsi" w:cstheme="minorHAnsi"/>
          <w:sz w:val="22"/>
          <w:szCs w:val="22"/>
        </w:rPr>
        <w:t xml:space="preserve"> can be made through a statement of case documents and may cover the claim form, pleadings</w:t>
      </w:r>
      <w:r w:rsidR="00304BA4" w:rsidRPr="0060648C">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 xml:space="preserve"> and counterclaims. However, access to the documents filed in court requires permission</w:t>
      </w:r>
      <w:r w:rsidR="00304BA4" w:rsidRPr="0060648C">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 xml:space="preserve"> and parties to the case reserve </w:t>
      </w:r>
      <w:r w:rsidR="00304BA4" w:rsidRPr="0060648C">
        <w:rPr>
          <w:rFonts w:asciiTheme="minorHAnsi" w:eastAsia="Times New Roman" w:hAnsiTheme="minorHAnsi" w:cstheme="minorHAnsi"/>
          <w:sz w:val="22"/>
          <w:szCs w:val="22"/>
        </w:rPr>
        <w:t>the</w:t>
      </w:r>
      <w:r w:rsidRPr="0060648C">
        <w:rPr>
          <w:rFonts w:asciiTheme="minorHAnsi" w:eastAsia="Times New Roman" w:hAnsiTheme="minorHAnsi" w:cstheme="minorHAnsi"/>
          <w:sz w:val="22"/>
          <w:szCs w:val="22"/>
        </w:rPr>
        <w:t xml:space="preserve"> right to make a pre-emptive application to restrict access to certain documents that they have filed. </w:t>
      </w:r>
    </w:p>
    <w:p w14:paraId="0000003B" w14:textId="77777777" w:rsidR="0001123C" w:rsidRPr="0060648C" w:rsidRDefault="0001123C" w:rsidP="0060648C">
      <w:pPr>
        <w:spacing w:line="276" w:lineRule="auto"/>
        <w:contextualSpacing/>
        <w:jc w:val="both"/>
        <w:rPr>
          <w:rFonts w:asciiTheme="minorHAnsi" w:eastAsia="Times New Roman" w:hAnsiTheme="minorHAnsi" w:cstheme="minorHAnsi"/>
          <w:sz w:val="22"/>
          <w:szCs w:val="22"/>
        </w:rPr>
      </w:pPr>
    </w:p>
    <w:p w14:paraId="0000003C" w14:textId="2B11CDA6" w:rsidR="0001123C" w:rsidRPr="0060648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Unlike the Irish and English approaches, the approach under the New York law is a lot less restrictive</w:t>
      </w:r>
      <w:r w:rsidR="00304BA4" w:rsidRPr="0060648C">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 xml:space="preserve"> and the public can gain access to any document filed in court unless it has been marked as either sealed, restricted</w:t>
      </w:r>
      <w:r w:rsidR="00304BA4" w:rsidRPr="0060648C">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 xml:space="preserve"> or confidential. Documents can be easily accessed on the e-filing system on the New York State Portal</w:t>
      </w:r>
      <w:r w:rsidR="009310D6" w:rsidRPr="0060648C">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 xml:space="preserve"> on payment of an application fee. If the document is not available on the e-filing system, a written request can be made. </w:t>
      </w:r>
    </w:p>
    <w:p w14:paraId="0000003D" w14:textId="77777777" w:rsidR="0001123C" w:rsidRPr="0060648C" w:rsidRDefault="0001123C" w:rsidP="0060648C">
      <w:pPr>
        <w:spacing w:line="276" w:lineRule="auto"/>
        <w:contextualSpacing/>
        <w:jc w:val="both"/>
        <w:rPr>
          <w:rFonts w:asciiTheme="minorHAnsi" w:eastAsia="Times New Roman" w:hAnsiTheme="minorHAnsi" w:cstheme="minorHAnsi"/>
          <w:sz w:val="22"/>
          <w:szCs w:val="22"/>
        </w:rPr>
      </w:pPr>
    </w:p>
    <w:p w14:paraId="76C55587" w14:textId="751AC792" w:rsidR="006B6B15" w:rsidRPr="0060648C" w:rsidRDefault="006B6B15"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 xml:space="preserve">(ii) </w:t>
      </w:r>
      <w:r w:rsidRPr="0060648C">
        <w:rPr>
          <w:rFonts w:asciiTheme="minorHAnsi" w:eastAsia="Times New Roman" w:hAnsiTheme="minorHAnsi" w:cstheme="minorHAnsi"/>
          <w:sz w:val="22"/>
          <w:szCs w:val="22"/>
          <w:u w:val="single"/>
        </w:rPr>
        <w:t>Public evidence documents</w:t>
      </w:r>
      <w:r w:rsidRPr="0060648C">
        <w:rPr>
          <w:rFonts w:asciiTheme="minorHAnsi" w:eastAsia="Times New Roman" w:hAnsiTheme="minorHAnsi" w:cstheme="minorHAnsi"/>
          <w:sz w:val="22"/>
          <w:szCs w:val="22"/>
        </w:rPr>
        <w:t>:</w:t>
      </w:r>
    </w:p>
    <w:p w14:paraId="2D92E0C3" w14:textId="77777777" w:rsidR="006B6B15" w:rsidRPr="0060648C" w:rsidRDefault="006B6B15" w:rsidP="0060648C">
      <w:pPr>
        <w:spacing w:line="276" w:lineRule="auto"/>
        <w:contextualSpacing/>
        <w:jc w:val="both"/>
        <w:rPr>
          <w:rFonts w:asciiTheme="minorHAnsi" w:eastAsia="Times New Roman" w:hAnsiTheme="minorHAnsi" w:cstheme="minorHAnsi"/>
          <w:sz w:val="22"/>
          <w:szCs w:val="22"/>
        </w:rPr>
      </w:pPr>
    </w:p>
    <w:p w14:paraId="0C494A6D" w14:textId="71978026" w:rsidR="009310D6" w:rsidRPr="0060648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 xml:space="preserve">In terms of the nature of public evidence documents, the Irish position is that once a document is opened in </w:t>
      </w:r>
      <w:r w:rsidR="009310D6" w:rsidRPr="0060648C">
        <w:rPr>
          <w:rFonts w:asciiTheme="minorHAnsi" w:eastAsia="Times New Roman" w:hAnsiTheme="minorHAnsi" w:cstheme="minorHAnsi"/>
          <w:sz w:val="22"/>
          <w:szCs w:val="22"/>
        </w:rPr>
        <w:t>C</w:t>
      </w:r>
      <w:r w:rsidRPr="0060648C">
        <w:rPr>
          <w:rFonts w:asciiTheme="minorHAnsi" w:eastAsia="Times New Roman" w:hAnsiTheme="minorHAnsi" w:cstheme="minorHAnsi"/>
          <w:sz w:val="22"/>
          <w:szCs w:val="22"/>
        </w:rPr>
        <w:t>ourt, it automatically becomes a public record</w:t>
      </w:r>
      <w:r w:rsidR="009310D6" w:rsidRPr="0060648C">
        <w:rPr>
          <w:rFonts w:asciiTheme="minorHAnsi" w:eastAsia="Times New Roman" w:hAnsiTheme="minorHAnsi" w:cstheme="minorHAnsi"/>
          <w:sz w:val="22"/>
          <w:szCs w:val="22"/>
        </w:rPr>
        <w:t>. A</w:t>
      </w:r>
      <w:r w:rsidRPr="0060648C">
        <w:rPr>
          <w:rFonts w:asciiTheme="minorHAnsi" w:eastAsia="Times New Roman" w:hAnsiTheme="minorHAnsi" w:cstheme="minorHAnsi"/>
          <w:sz w:val="22"/>
          <w:szCs w:val="22"/>
        </w:rPr>
        <w:t>nd as a public record</w:t>
      </w:r>
      <w:r w:rsidR="009310D6" w:rsidRPr="0060648C">
        <w:rPr>
          <w:rFonts w:asciiTheme="minorHAnsi" w:eastAsia="Times New Roman" w:hAnsiTheme="minorHAnsi" w:cstheme="minorHAnsi"/>
          <w:sz w:val="22"/>
          <w:szCs w:val="22"/>
        </w:rPr>
        <w:t xml:space="preserve">, </w:t>
      </w:r>
      <w:r w:rsidRPr="0060648C">
        <w:rPr>
          <w:rFonts w:asciiTheme="minorHAnsi" w:eastAsia="Times New Roman" w:hAnsiTheme="minorHAnsi" w:cstheme="minorHAnsi"/>
          <w:sz w:val="22"/>
          <w:szCs w:val="22"/>
        </w:rPr>
        <w:t xml:space="preserve">it requires an application for its use, and it remains subject to the discretion of the </w:t>
      </w:r>
      <w:r w:rsidR="009310D6" w:rsidRPr="0060648C">
        <w:rPr>
          <w:rFonts w:asciiTheme="minorHAnsi" w:eastAsia="Times New Roman" w:hAnsiTheme="minorHAnsi" w:cstheme="minorHAnsi"/>
          <w:sz w:val="22"/>
          <w:szCs w:val="22"/>
        </w:rPr>
        <w:t>C</w:t>
      </w:r>
      <w:r w:rsidRPr="0060648C">
        <w:rPr>
          <w:rFonts w:asciiTheme="minorHAnsi" w:eastAsia="Times New Roman" w:hAnsiTheme="minorHAnsi" w:cstheme="minorHAnsi"/>
          <w:sz w:val="22"/>
          <w:szCs w:val="22"/>
        </w:rPr>
        <w:t>ourt. In England and Wales</w:t>
      </w:r>
      <w:r w:rsidR="009310D6" w:rsidRPr="0060648C">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 xml:space="preserve"> the position is similar.  A document opened in court is seen as a public evidence document</w:t>
      </w:r>
      <w:r w:rsidR="009310D6" w:rsidRPr="0060648C">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 xml:space="preserve"> however, the access to public evidence documents is not automatic and requires proof that such access will advance the principles of open justice. The English </w:t>
      </w:r>
      <w:r w:rsidR="009310D6" w:rsidRPr="0060648C">
        <w:rPr>
          <w:rFonts w:asciiTheme="minorHAnsi" w:eastAsia="Times New Roman" w:hAnsiTheme="minorHAnsi" w:cstheme="minorHAnsi"/>
          <w:sz w:val="22"/>
          <w:szCs w:val="22"/>
        </w:rPr>
        <w:t>C</w:t>
      </w:r>
      <w:r w:rsidRPr="0060648C">
        <w:rPr>
          <w:rFonts w:asciiTheme="minorHAnsi" w:eastAsia="Times New Roman" w:hAnsiTheme="minorHAnsi" w:cstheme="minorHAnsi"/>
          <w:sz w:val="22"/>
          <w:szCs w:val="22"/>
        </w:rPr>
        <w:t xml:space="preserve">ourts will </w:t>
      </w:r>
      <w:r w:rsidR="009310D6" w:rsidRPr="0060648C">
        <w:rPr>
          <w:rFonts w:asciiTheme="minorHAnsi" w:eastAsia="Times New Roman" w:hAnsiTheme="minorHAnsi" w:cstheme="minorHAnsi"/>
          <w:sz w:val="22"/>
          <w:szCs w:val="22"/>
        </w:rPr>
        <w:t>weigh</w:t>
      </w:r>
      <w:r w:rsidRPr="0060648C">
        <w:rPr>
          <w:rFonts w:asciiTheme="minorHAnsi" w:eastAsia="Times New Roman" w:hAnsiTheme="minorHAnsi" w:cstheme="minorHAnsi"/>
          <w:sz w:val="22"/>
          <w:szCs w:val="22"/>
        </w:rPr>
        <w:t xml:space="preserve"> the right to privacy and the right to public interest to determine if access should be given. </w:t>
      </w:r>
    </w:p>
    <w:p w14:paraId="3DC28B2F" w14:textId="77777777" w:rsidR="009310D6" w:rsidRPr="0060648C" w:rsidRDefault="009310D6" w:rsidP="0060648C">
      <w:pPr>
        <w:spacing w:line="276" w:lineRule="auto"/>
        <w:contextualSpacing/>
        <w:jc w:val="both"/>
        <w:rPr>
          <w:rFonts w:asciiTheme="minorHAnsi" w:eastAsia="Times New Roman" w:hAnsiTheme="minorHAnsi" w:cstheme="minorHAnsi"/>
          <w:sz w:val="22"/>
          <w:szCs w:val="22"/>
        </w:rPr>
      </w:pPr>
    </w:p>
    <w:p w14:paraId="0000003E" w14:textId="67ACFBD0" w:rsidR="0001123C" w:rsidRPr="0060648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 xml:space="preserve">In contrast, the speakers noted that New York law does not recognise a similar distinction. This is because there is a presumption that anything filed is public. However, there are still exceptions for certain types of public records, such as documents that have been sealed by the </w:t>
      </w:r>
      <w:r w:rsidR="009310D6" w:rsidRPr="0060648C">
        <w:rPr>
          <w:rFonts w:asciiTheme="minorHAnsi" w:eastAsia="Times New Roman" w:hAnsiTheme="minorHAnsi" w:cstheme="minorHAnsi"/>
          <w:sz w:val="22"/>
          <w:szCs w:val="22"/>
        </w:rPr>
        <w:t>C</w:t>
      </w:r>
      <w:r w:rsidRPr="0060648C">
        <w:rPr>
          <w:rFonts w:asciiTheme="minorHAnsi" w:eastAsia="Times New Roman" w:hAnsiTheme="minorHAnsi" w:cstheme="minorHAnsi"/>
          <w:sz w:val="22"/>
          <w:szCs w:val="22"/>
        </w:rPr>
        <w:t xml:space="preserve">ourt. </w:t>
      </w:r>
    </w:p>
    <w:p w14:paraId="52F3E576" w14:textId="77777777" w:rsidR="006B6B15" w:rsidRPr="0060648C" w:rsidRDefault="006B6B15" w:rsidP="0060648C">
      <w:pPr>
        <w:spacing w:line="276" w:lineRule="auto"/>
        <w:contextualSpacing/>
        <w:jc w:val="both"/>
        <w:rPr>
          <w:rFonts w:asciiTheme="minorHAnsi" w:eastAsia="Times New Roman" w:hAnsiTheme="minorHAnsi" w:cstheme="minorHAnsi"/>
          <w:sz w:val="22"/>
          <w:szCs w:val="22"/>
        </w:rPr>
      </w:pPr>
    </w:p>
    <w:p w14:paraId="0AB9FE06" w14:textId="5236AF19" w:rsidR="006B6B15" w:rsidRPr="0060648C" w:rsidRDefault="006B6B15"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 xml:space="preserve">(iii) </w:t>
      </w:r>
      <w:r w:rsidRPr="0060648C">
        <w:rPr>
          <w:rFonts w:asciiTheme="minorHAnsi" w:eastAsia="Times New Roman" w:hAnsiTheme="minorHAnsi" w:cstheme="minorHAnsi"/>
          <w:sz w:val="22"/>
          <w:szCs w:val="22"/>
          <w:u w:val="single"/>
        </w:rPr>
        <w:t>Implied undertaking/collateral use of documents in court</w:t>
      </w:r>
      <w:r w:rsidR="00304BA4" w:rsidRPr="0060648C">
        <w:rPr>
          <w:rFonts w:asciiTheme="minorHAnsi" w:eastAsia="Times New Roman" w:hAnsiTheme="minorHAnsi" w:cstheme="minorHAnsi"/>
          <w:sz w:val="22"/>
          <w:szCs w:val="22"/>
        </w:rPr>
        <w:t xml:space="preserve">: </w:t>
      </w:r>
    </w:p>
    <w:p w14:paraId="0000003F" w14:textId="77777777" w:rsidR="0001123C" w:rsidRPr="0060648C" w:rsidRDefault="0001123C" w:rsidP="0060648C">
      <w:pPr>
        <w:spacing w:line="276" w:lineRule="auto"/>
        <w:contextualSpacing/>
        <w:jc w:val="both"/>
        <w:rPr>
          <w:rFonts w:asciiTheme="minorHAnsi" w:eastAsia="Times New Roman" w:hAnsiTheme="minorHAnsi" w:cstheme="minorHAnsi"/>
          <w:sz w:val="22"/>
          <w:szCs w:val="22"/>
        </w:rPr>
      </w:pPr>
    </w:p>
    <w:p w14:paraId="00000040" w14:textId="743FD5BB" w:rsidR="0001123C" w:rsidRPr="0060648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 xml:space="preserve">The final heading discussed was the implied undertaking/collateral use of documents in </w:t>
      </w:r>
      <w:r w:rsidR="009310D6" w:rsidRPr="0060648C">
        <w:rPr>
          <w:rFonts w:asciiTheme="minorHAnsi" w:eastAsia="Times New Roman" w:hAnsiTheme="minorHAnsi" w:cstheme="minorHAnsi"/>
          <w:sz w:val="22"/>
          <w:szCs w:val="22"/>
        </w:rPr>
        <w:t>C</w:t>
      </w:r>
      <w:r w:rsidRPr="0060648C">
        <w:rPr>
          <w:rFonts w:asciiTheme="minorHAnsi" w:eastAsia="Times New Roman" w:hAnsiTheme="minorHAnsi" w:cstheme="minorHAnsi"/>
          <w:sz w:val="22"/>
          <w:szCs w:val="22"/>
        </w:rPr>
        <w:t>ourt. In Ireland, it is subject to an implied undertaking that the documents are not to be used for other purposes. In England and Wales, a common law rule reflected in the Civil Procedure Rules states that the implied undertaking is not absolute and may be subject to certain exceptions</w:t>
      </w:r>
      <w:r w:rsidR="006B6B15" w:rsidRPr="0060648C">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 xml:space="preserve"> especially in cases where the document has been opened in</w:t>
      </w:r>
      <w:r w:rsidR="009310D6" w:rsidRPr="0060648C">
        <w:rPr>
          <w:rFonts w:asciiTheme="minorHAnsi" w:eastAsia="Times New Roman" w:hAnsiTheme="minorHAnsi" w:cstheme="minorHAnsi"/>
          <w:sz w:val="22"/>
          <w:szCs w:val="22"/>
        </w:rPr>
        <w:t xml:space="preserve"> C</w:t>
      </w:r>
      <w:r w:rsidRPr="0060648C">
        <w:rPr>
          <w:rFonts w:asciiTheme="minorHAnsi" w:eastAsia="Times New Roman" w:hAnsiTheme="minorHAnsi" w:cstheme="minorHAnsi"/>
          <w:sz w:val="22"/>
          <w:szCs w:val="22"/>
        </w:rPr>
        <w:t xml:space="preserve">ourt. Finally, in New York, there is no similar blanket provision for the implied undertaking or collateral use of documents in </w:t>
      </w:r>
      <w:r w:rsidR="009310D6" w:rsidRPr="0060648C">
        <w:rPr>
          <w:rFonts w:asciiTheme="minorHAnsi" w:eastAsia="Times New Roman" w:hAnsiTheme="minorHAnsi" w:cstheme="minorHAnsi"/>
          <w:sz w:val="22"/>
          <w:szCs w:val="22"/>
        </w:rPr>
        <w:t>C</w:t>
      </w:r>
      <w:r w:rsidRPr="0060648C">
        <w:rPr>
          <w:rFonts w:asciiTheme="minorHAnsi" w:eastAsia="Times New Roman" w:hAnsiTheme="minorHAnsi" w:cstheme="minorHAnsi"/>
          <w:sz w:val="22"/>
          <w:szCs w:val="22"/>
        </w:rPr>
        <w:t xml:space="preserve">ourt. A trial </w:t>
      </w:r>
      <w:r w:rsidR="009310D6" w:rsidRPr="0060648C">
        <w:rPr>
          <w:rFonts w:asciiTheme="minorHAnsi" w:eastAsia="Times New Roman" w:hAnsiTheme="minorHAnsi" w:cstheme="minorHAnsi"/>
          <w:sz w:val="22"/>
          <w:szCs w:val="22"/>
        </w:rPr>
        <w:t>C</w:t>
      </w:r>
      <w:r w:rsidRPr="0060648C">
        <w:rPr>
          <w:rFonts w:asciiTheme="minorHAnsi" w:eastAsia="Times New Roman" w:hAnsiTheme="minorHAnsi" w:cstheme="minorHAnsi"/>
          <w:sz w:val="22"/>
          <w:szCs w:val="22"/>
        </w:rPr>
        <w:t>ourt may utilise a protective order</w:t>
      </w:r>
      <w:r w:rsidR="009310D6" w:rsidRPr="0060648C">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 xml:space="preserve"> which will limit collateral use of documents in discovery. This could be bypassed with a subpoena and adequate notice.</w:t>
      </w:r>
    </w:p>
    <w:p w14:paraId="00000041" w14:textId="77777777" w:rsidR="0001123C" w:rsidRPr="0060648C" w:rsidRDefault="0001123C" w:rsidP="0060648C">
      <w:pPr>
        <w:spacing w:line="276" w:lineRule="auto"/>
        <w:contextualSpacing/>
        <w:jc w:val="both"/>
        <w:rPr>
          <w:rFonts w:asciiTheme="minorHAnsi" w:eastAsia="Times New Roman" w:hAnsiTheme="minorHAnsi" w:cstheme="minorHAnsi"/>
          <w:sz w:val="22"/>
          <w:szCs w:val="22"/>
        </w:rPr>
      </w:pPr>
    </w:p>
    <w:p w14:paraId="00000042" w14:textId="7B1C01CE" w:rsidR="0001123C" w:rsidRPr="0060648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 xml:space="preserve">The speakers concluded their presentation by recognising that the difference in approaches to public access to court documents is rooted in cultural differences.  Irish law ensures that parties retain discretion in determining whether the public should have access to the </w:t>
      </w:r>
      <w:r w:rsidR="009310D6" w:rsidRPr="0060648C">
        <w:rPr>
          <w:rFonts w:asciiTheme="minorHAnsi" w:eastAsia="Times New Roman" w:hAnsiTheme="minorHAnsi" w:cstheme="minorHAnsi"/>
          <w:sz w:val="22"/>
          <w:szCs w:val="22"/>
        </w:rPr>
        <w:t>C</w:t>
      </w:r>
      <w:r w:rsidRPr="0060648C">
        <w:rPr>
          <w:rFonts w:asciiTheme="minorHAnsi" w:eastAsia="Times New Roman" w:hAnsiTheme="minorHAnsi" w:cstheme="minorHAnsi"/>
          <w:sz w:val="22"/>
          <w:szCs w:val="22"/>
        </w:rPr>
        <w:t xml:space="preserve">ourt documents. England maintains a more balanced approach wherein basic pleadings are generally accessible and other court documents need a formal application to guarantee access. The </w:t>
      </w:r>
      <w:r w:rsidR="009310D6" w:rsidRPr="0060648C">
        <w:rPr>
          <w:rFonts w:asciiTheme="minorHAnsi" w:eastAsia="Times New Roman" w:hAnsiTheme="minorHAnsi" w:cstheme="minorHAnsi"/>
          <w:sz w:val="22"/>
          <w:szCs w:val="22"/>
        </w:rPr>
        <w:t>C</w:t>
      </w:r>
      <w:r w:rsidRPr="0060648C">
        <w:rPr>
          <w:rFonts w:asciiTheme="minorHAnsi" w:eastAsia="Times New Roman" w:hAnsiTheme="minorHAnsi" w:cstheme="minorHAnsi"/>
          <w:sz w:val="22"/>
          <w:szCs w:val="22"/>
        </w:rPr>
        <w:t>ourt retains discretion to grant such access and generally will require a good reason before it does so. New York places more emphasis on transparency over privacy</w:t>
      </w:r>
      <w:r w:rsidR="009310D6" w:rsidRPr="0060648C">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 xml:space="preserve"> and that is reflected by the fact that </w:t>
      </w:r>
      <w:r w:rsidR="009310D6" w:rsidRPr="0060648C">
        <w:rPr>
          <w:rFonts w:asciiTheme="minorHAnsi" w:eastAsia="Times New Roman" w:hAnsiTheme="minorHAnsi" w:cstheme="minorHAnsi"/>
          <w:sz w:val="22"/>
          <w:szCs w:val="22"/>
        </w:rPr>
        <w:t>C</w:t>
      </w:r>
      <w:r w:rsidRPr="0060648C">
        <w:rPr>
          <w:rFonts w:asciiTheme="minorHAnsi" w:eastAsia="Times New Roman" w:hAnsiTheme="minorHAnsi" w:cstheme="minorHAnsi"/>
          <w:sz w:val="22"/>
          <w:szCs w:val="22"/>
        </w:rPr>
        <w:t>ourt documents are usually publicly accessible in this jurisdiction. While each approach has its advantages, clarity and certainty are prevailing considerations.  There should be access to basic court filings. The balance between open justice and privacy must be improved, and privacy must be protected without compromising transparency. It was recommended that technological solutions could improve this balance and ensure ease of access to court documents.</w:t>
      </w:r>
    </w:p>
    <w:p w14:paraId="00000043" w14:textId="77777777" w:rsidR="0001123C" w:rsidRPr="0060648C" w:rsidRDefault="0001123C" w:rsidP="0060648C">
      <w:pPr>
        <w:spacing w:line="276" w:lineRule="auto"/>
        <w:contextualSpacing/>
        <w:jc w:val="both"/>
        <w:rPr>
          <w:rFonts w:asciiTheme="minorHAnsi" w:eastAsia="Times New Roman" w:hAnsiTheme="minorHAnsi" w:cstheme="minorHAnsi"/>
          <w:sz w:val="22"/>
          <w:szCs w:val="22"/>
        </w:rPr>
      </w:pPr>
    </w:p>
    <w:p w14:paraId="00000044" w14:textId="29CC486E" w:rsidR="0001123C" w:rsidRPr="0060648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 xml:space="preserve">General commentary on the topic featured concerns about media access to </w:t>
      </w:r>
      <w:r w:rsidR="009310D6" w:rsidRPr="0060648C">
        <w:rPr>
          <w:rFonts w:asciiTheme="minorHAnsi" w:eastAsia="Times New Roman" w:hAnsiTheme="minorHAnsi" w:cstheme="minorHAnsi"/>
          <w:sz w:val="22"/>
          <w:szCs w:val="22"/>
        </w:rPr>
        <w:t>C</w:t>
      </w:r>
      <w:r w:rsidRPr="0060648C">
        <w:rPr>
          <w:rFonts w:asciiTheme="minorHAnsi" w:eastAsia="Times New Roman" w:hAnsiTheme="minorHAnsi" w:cstheme="minorHAnsi"/>
          <w:sz w:val="22"/>
          <w:szCs w:val="22"/>
        </w:rPr>
        <w:t xml:space="preserve">ourt documents. </w:t>
      </w:r>
      <w:sdt>
        <w:sdtPr>
          <w:rPr>
            <w:rFonts w:asciiTheme="minorHAnsi" w:hAnsiTheme="minorHAnsi" w:cstheme="minorHAnsi"/>
          </w:rPr>
          <w:tag w:val="goog_rdk_2"/>
          <w:id w:val="-1336190941"/>
        </w:sdtPr>
        <w:sdtContent/>
      </w:sdt>
      <w:sdt>
        <w:sdtPr>
          <w:rPr>
            <w:rFonts w:asciiTheme="minorHAnsi" w:hAnsiTheme="minorHAnsi" w:cstheme="minorHAnsi"/>
          </w:rPr>
          <w:tag w:val="goog_rdk_3"/>
          <w:id w:val="1874722154"/>
        </w:sdtPr>
        <w:sdtContent/>
      </w:sdt>
      <w:sdt>
        <w:sdtPr>
          <w:rPr>
            <w:rFonts w:asciiTheme="minorHAnsi" w:hAnsiTheme="minorHAnsi" w:cstheme="minorHAnsi"/>
          </w:rPr>
          <w:tag w:val="goog_rdk_4"/>
          <w:id w:val="-73199091"/>
        </w:sdtPr>
        <w:sdtContent/>
      </w:sdt>
      <w:r w:rsidRPr="0060648C">
        <w:rPr>
          <w:rFonts w:asciiTheme="minorHAnsi" w:eastAsia="Times New Roman" w:hAnsiTheme="minorHAnsi" w:cstheme="minorHAnsi"/>
          <w:sz w:val="22"/>
          <w:szCs w:val="22"/>
        </w:rPr>
        <w:t>There have been cases where the media gained access to the judge’s books</w:t>
      </w:r>
      <w:r w:rsidR="009310D6" w:rsidRPr="0060648C">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 xml:space="preserve"> and a journalist was even given access to a hearing closed off to the parties. Going forward, it is likely that there will be complications posed by the </w:t>
      </w:r>
      <w:r w:rsidRPr="0060648C">
        <w:rPr>
          <w:rFonts w:asciiTheme="minorHAnsi" w:eastAsia="Times New Roman" w:hAnsiTheme="minorHAnsi" w:cstheme="minorHAnsi"/>
          <w:i/>
          <w:sz w:val="22"/>
          <w:szCs w:val="22"/>
        </w:rPr>
        <w:t>General Data Protection Regulation</w:t>
      </w:r>
      <w:r w:rsidRPr="0060648C">
        <w:rPr>
          <w:rFonts w:asciiTheme="minorHAnsi" w:eastAsia="Times New Roman" w:hAnsiTheme="minorHAnsi" w:cstheme="minorHAnsi"/>
          <w:sz w:val="22"/>
          <w:szCs w:val="22"/>
        </w:rPr>
        <w:t xml:space="preserve"> (</w:t>
      </w:r>
      <w:r w:rsidR="009310D6" w:rsidRPr="0060648C">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GDPR</w:t>
      </w:r>
      <w:r w:rsidR="009310D6" w:rsidRPr="0060648C">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  In the Irish context, the role of Article 34 of the</w:t>
      </w:r>
      <w:r w:rsidR="00D0077F">
        <w:rPr>
          <w:rFonts w:asciiTheme="minorHAnsi" w:eastAsia="Times New Roman" w:hAnsiTheme="minorHAnsi" w:cstheme="minorHAnsi"/>
          <w:sz w:val="22"/>
          <w:szCs w:val="22"/>
        </w:rPr>
        <w:t xml:space="preserve"> </w:t>
      </w:r>
      <w:r w:rsidRPr="0060648C">
        <w:rPr>
          <w:rFonts w:asciiTheme="minorHAnsi" w:eastAsia="Times New Roman" w:hAnsiTheme="minorHAnsi" w:cstheme="minorHAnsi"/>
          <w:i/>
          <w:color w:val="000000" w:themeColor="text1"/>
          <w:sz w:val="22"/>
          <w:szCs w:val="22"/>
        </w:rPr>
        <w:t>Constitution</w:t>
      </w:r>
      <w:r w:rsidR="00D0077F">
        <w:rPr>
          <w:rFonts w:asciiTheme="minorHAnsi" w:eastAsia="Times New Roman" w:hAnsiTheme="minorHAnsi" w:cstheme="minorHAnsi"/>
          <w:i/>
          <w:color w:val="000000" w:themeColor="text1"/>
          <w:sz w:val="22"/>
          <w:szCs w:val="22"/>
        </w:rPr>
        <w:t xml:space="preserve"> of Ireland</w:t>
      </w:r>
      <w:r w:rsidR="009310D6" w:rsidRPr="0060648C">
        <w:rPr>
          <w:rFonts w:asciiTheme="minorHAnsi" w:eastAsia="Times New Roman" w:hAnsiTheme="minorHAnsi" w:cstheme="minorHAnsi"/>
          <w:i/>
          <w:color w:val="000000" w:themeColor="text1"/>
          <w:sz w:val="22"/>
          <w:szCs w:val="22"/>
        </w:rPr>
        <w:t xml:space="preserve"> </w:t>
      </w:r>
      <w:r w:rsidR="009310D6" w:rsidRPr="0060648C">
        <w:rPr>
          <w:rFonts w:asciiTheme="minorHAnsi" w:eastAsia="Times New Roman" w:hAnsiTheme="minorHAnsi" w:cstheme="minorHAnsi"/>
          <w:iCs/>
          <w:color w:val="000000" w:themeColor="text1"/>
          <w:sz w:val="22"/>
          <w:szCs w:val="22"/>
        </w:rPr>
        <w:t>(</w:t>
      </w:r>
      <w:proofErr w:type="spellStart"/>
      <w:r w:rsidR="009310D6" w:rsidRPr="0060648C">
        <w:rPr>
          <w:rFonts w:asciiTheme="minorHAnsi" w:hAnsiTheme="minorHAnsi" w:cstheme="minorHAnsi"/>
          <w:i/>
          <w:color w:val="000000" w:themeColor="text1"/>
          <w:spacing w:val="3"/>
          <w:sz w:val="22"/>
          <w:szCs w:val="22"/>
          <w:shd w:val="clear" w:color="auto" w:fill="FFFFFF"/>
        </w:rPr>
        <w:t>Bunreacht</w:t>
      </w:r>
      <w:proofErr w:type="spellEnd"/>
      <w:r w:rsidR="009310D6" w:rsidRPr="0060648C">
        <w:rPr>
          <w:rFonts w:asciiTheme="minorHAnsi" w:hAnsiTheme="minorHAnsi" w:cstheme="minorHAnsi"/>
          <w:i/>
          <w:color w:val="000000" w:themeColor="text1"/>
          <w:spacing w:val="3"/>
          <w:sz w:val="22"/>
          <w:szCs w:val="22"/>
          <w:shd w:val="clear" w:color="auto" w:fill="FFFFFF"/>
        </w:rPr>
        <w:t xml:space="preserve"> </w:t>
      </w:r>
      <w:proofErr w:type="spellStart"/>
      <w:r w:rsidR="009310D6" w:rsidRPr="0060648C">
        <w:rPr>
          <w:rFonts w:asciiTheme="minorHAnsi" w:hAnsiTheme="minorHAnsi" w:cstheme="minorHAnsi"/>
          <w:i/>
          <w:color w:val="000000" w:themeColor="text1"/>
          <w:spacing w:val="3"/>
          <w:sz w:val="22"/>
          <w:szCs w:val="22"/>
          <w:shd w:val="clear" w:color="auto" w:fill="FFFFFF"/>
        </w:rPr>
        <w:t>na</w:t>
      </w:r>
      <w:proofErr w:type="spellEnd"/>
      <w:r w:rsidR="009310D6" w:rsidRPr="0060648C">
        <w:rPr>
          <w:rFonts w:asciiTheme="minorHAnsi" w:hAnsiTheme="minorHAnsi" w:cstheme="minorHAnsi"/>
          <w:i/>
          <w:color w:val="000000" w:themeColor="text1"/>
          <w:spacing w:val="3"/>
          <w:sz w:val="22"/>
          <w:szCs w:val="22"/>
          <w:shd w:val="clear" w:color="auto" w:fill="FFFFFF"/>
        </w:rPr>
        <w:t xml:space="preserve"> </w:t>
      </w:r>
      <w:proofErr w:type="spellStart"/>
      <w:r w:rsidR="009310D6" w:rsidRPr="0060648C">
        <w:rPr>
          <w:rFonts w:asciiTheme="minorHAnsi" w:hAnsiTheme="minorHAnsi" w:cstheme="minorHAnsi"/>
          <w:i/>
          <w:color w:val="000000" w:themeColor="text1"/>
          <w:spacing w:val="3"/>
          <w:sz w:val="22"/>
          <w:szCs w:val="22"/>
          <w:shd w:val="clear" w:color="auto" w:fill="FFFFFF"/>
        </w:rPr>
        <w:t>hÉireann</w:t>
      </w:r>
      <w:proofErr w:type="spellEnd"/>
      <w:r w:rsidR="009310D6" w:rsidRPr="0060648C">
        <w:rPr>
          <w:rFonts w:asciiTheme="minorHAnsi" w:eastAsia="Times New Roman" w:hAnsiTheme="minorHAnsi" w:cstheme="minorHAnsi"/>
          <w:iCs/>
          <w:color w:val="000000" w:themeColor="text1"/>
          <w:sz w:val="22"/>
          <w:szCs w:val="22"/>
        </w:rPr>
        <w:t>)</w:t>
      </w:r>
      <w:r w:rsidRPr="0060648C">
        <w:rPr>
          <w:rFonts w:asciiTheme="minorHAnsi" w:eastAsia="Times New Roman" w:hAnsiTheme="minorHAnsi" w:cstheme="minorHAnsi"/>
          <w:i/>
          <w:color w:val="000000" w:themeColor="text1"/>
          <w:sz w:val="22"/>
          <w:szCs w:val="22"/>
        </w:rPr>
        <w:t xml:space="preserve"> </w:t>
      </w:r>
      <w:r w:rsidRPr="0060648C">
        <w:rPr>
          <w:rFonts w:asciiTheme="minorHAnsi" w:eastAsia="Times New Roman" w:hAnsiTheme="minorHAnsi" w:cstheme="minorHAnsi"/>
          <w:color w:val="000000" w:themeColor="text1"/>
          <w:sz w:val="22"/>
          <w:szCs w:val="22"/>
        </w:rPr>
        <w:t xml:space="preserve">must </w:t>
      </w:r>
      <w:r w:rsidRPr="0060648C">
        <w:rPr>
          <w:rFonts w:asciiTheme="minorHAnsi" w:eastAsia="Times New Roman" w:hAnsiTheme="minorHAnsi" w:cstheme="minorHAnsi"/>
          <w:sz w:val="22"/>
          <w:szCs w:val="22"/>
        </w:rPr>
        <w:t>be considered if liberalisation is to be adopted in the country. A balance will have to be carefully struck between transparency, privacy</w:t>
      </w:r>
      <w:r w:rsidR="00D0077F">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 xml:space="preserve"> and open justice.</w:t>
      </w:r>
    </w:p>
    <w:p w14:paraId="00000046" w14:textId="77777777" w:rsidR="0001123C" w:rsidRPr="0060648C" w:rsidRDefault="0001123C" w:rsidP="0060648C">
      <w:pPr>
        <w:spacing w:line="276" w:lineRule="auto"/>
        <w:contextualSpacing/>
        <w:jc w:val="both"/>
        <w:rPr>
          <w:rFonts w:asciiTheme="minorHAnsi" w:eastAsia="Times New Roman" w:hAnsiTheme="minorHAnsi" w:cstheme="minorHAnsi"/>
          <w:color w:val="7030A0"/>
          <w:sz w:val="22"/>
          <w:szCs w:val="22"/>
        </w:rPr>
      </w:pPr>
    </w:p>
    <w:p w14:paraId="00000047" w14:textId="77777777" w:rsidR="0001123C" w:rsidRPr="0060648C" w:rsidRDefault="00000000" w:rsidP="0060648C">
      <w:pPr>
        <w:spacing w:line="276" w:lineRule="auto"/>
        <w:contextualSpacing/>
        <w:jc w:val="both"/>
        <w:rPr>
          <w:rFonts w:asciiTheme="minorHAnsi" w:eastAsia="Times New Roman" w:hAnsiTheme="minorHAnsi" w:cstheme="minorHAnsi"/>
          <w:b/>
          <w:color w:val="000000"/>
          <w:sz w:val="22"/>
          <w:szCs w:val="22"/>
        </w:rPr>
      </w:pPr>
      <w:r w:rsidRPr="0060648C">
        <w:rPr>
          <w:rFonts w:asciiTheme="minorHAnsi" w:eastAsia="Times New Roman" w:hAnsiTheme="minorHAnsi" w:cstheme="minorHAnsi"/>
          <w:b/>
          <w:color w:val="000000"/>
          <w:sz w:val="22"/>
          <w:szCs w:val="22"/>
        </w:rPr>
        <w:t xml:space="preserve">14.55 – 15.25:     </w:t>
      </w:r>
      <w:sdt>
        <w:sdtPr>
          <w:rPr>
            <w:rFonts w:asciiTheme="minorHAnsi" w:hAnsiTheme="minorHAnsi" w:cstheme="minorHAnsi"/>
            <w:sz w:val="22"/>
            <w:szCs w:val="22"/>
          </w:rPr>
          <w:tag w:val="goog_rdk_5"/>
          <w:id w:val="2009330966"/>
        </w:sdtPr>
        <w:sdtContent/>
      </w:sdt>
      <w:r w:rsidRPr="0060648C">
        <w:rPr>
          <w:rFonts w:asciiTheme="minorHAnsi" w:eastAsia="Times New Roman" w:hAnsiTheme="minorHAnsi" w:cstheme="minorHAnsi"/>
          <w:b/>
          <w:color w:val="000000"/>
          <w:sz w:val="22"/>
          <w:szCs w:val="22"/>
        </w:rPr>
        <w:t>Topic 2: Right to assign a cause of action</w:t>
      </w:r>
    </w:p>
    <w:p w14:paraId="00000048" w14:textId="77777777" w:rsidR="0001123C" w:rsidRPr="0060648C" w:rsidRDefault="0001123C" w:rsidP="0060648C">
      <w:pPr>
        <w:spacing w:line="276" w:lineRule="auto"/>
        <w:contextualSpacing/>
        <w:jc w:val="both"/>
        <w:rPr>
          <w:rFonts w:asciiTheme="minorHAnsi" w:eastAsia="Times New Roman" w:hAnsiTheme="minorHAnsi" w:cstheme="minorHAnsi"/>
          <w:b/>
          <w:sz w:val="22"/>
          <w:szCs w:val="22"/>
        </w:rPr>
      </w:pPr>
    </w:p>
    <w:p w14:paraId="00000049" w14:textId="4AFA24AB" w:rsidR="0001123C" w:rsidRPr="0060648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b/>
          <w:sz w:val="22"/>
          <w:szCs w:val="22"/>
        </w:rPr>
        <w:t>Mr</w:t>
      </w:r>
      <w:r w:rsidR="009310D6" w:rsidRPr="0060648C">
        <w:rPr>
          <w:rFonts w:asciiTheme="minorHAnsi" w:eastAsia="Times New Roman" w:hAnsiTheme="minorHAnsi" w:cstheme="minorHAnsi"/>
          <w:b/>
          <w:sz w:val="22"/>
          <w:szCs w:val="22"/>
        </w:rPr>
        <w:t>.</w:t>
      </w:r>
      <w:r w:rsidRPr="0060648C">
        <w:rPr>
          <w:rFonts w:asciiTheme="minorHAnsi" w:eastAsia="Times New Roman" w:hAnsiTheme="minorHAnsi" w:cstheme="minorHAnsi"/>
          <w:b/>
          <w:sz w:val="22"/>
          <w:szCs w:val="22"/>
        </w:rPr>
        <w:t xml:space="preserve"> Gearoid Carey, </w:t>
      </w:r>
      <w:r w:rsidRPr="0060648C">
        <w:rPr>
          <w:rFonts w:asciiTheme="minorHAnsi" w:eastAsia="Times New Roman" w:hAnsiTheme="minorHAnsi" w:cstheme="minorHAnsi"/>
          <w:sz w:val="22"/>
          <w:szCs w:val="22"/>
        </w:rPr>
        <w:t xml:space="preserve">partner at </w:t>
      </w:r>
      <w:r w:rsidRPr="0060648C">
        <w:rPr>
          <w:rFonts w:asciiTheme="minorHAnsi" w:eastAsia="Times New Roman" w:hAnsiTheme="minorHAnsi" w:cstheme="minorHAnsi"/>
          <w:i/>
          <w:sz w:val="22"/>
          <w:szCs w:val="22"/>
        </w:rPr>
        <w:t>Mason, Hayes &amp; Curran</w:t>
      </w:r>
      <w:r w:rsidRPr="0060648C">
        <w:rPr>
          <w:rFonts w:asciiTheme="minorHAnsi" w:eastAsia="Times New Roman" w:hAnsiTheme="minorHAnsi" w:cstheme="minorHAnsi"/>
          <w:sz w:val="22"/>
          <w:szCs w:val="22"/>
        </w:rPr>
        <w:t>, provided a comparative perspective on the assignment of claims under the New York, Irish, and UK legal systems. An assignment is the act of transferring one’s rights to another party, including litigation claims. The issue has been historically linked to torts of maintenance</w:t>
      </w:r>
      <w:r w:rsidRPr="0060648C">
        <w:rPr>
          <w:rFonts w:asciiTheme="minorHAnsi" w:eastAsia="Times New Roman" w:hAnsiTheme="minorHAnsi" w:cstheme="minorHAnsi"/>
          <w:sz w:val="22"/>
          <w:szCs w:val="22"/>
          <w:vertAlign w:val="superscript"/>
        </w:rPr>
        <w:footnoteReference w:id="2"/>
      </w:r>
      <w:r w:rsidRPr="0060648C">
        <w:rPr>
          <w:rFonts w:asciiTheme="minorHAnsi" w:eastAsia="Times New Roman" w:hAnsiTheme="minorHAnsi" w:cstheme="minorHAnsi"/>
          <w:sz w:val="22"/>
          <w:szCs w:val="22"/>
        </w:rPr>
        <w:t xml:space="preserve"> and champerty</w:t>
      </w:r>
      <w:r w:rsidRPr="0060648C">
        <w:rPr>
          <w:rFonts w:asciiTheme="minorHAnsi" w:eastAsia="Times New Roman" w:hAnsiTheme="minorHAnsi" w:cstheme="minorHAnsi"/>
          <w:sz w:val="22"/>
          <w:szCs w:val="22"/>
          <w:vertAlign w:val="superscript"/>
        </w:rPr>
        <w:footnoteReference w:id="3"/>
      </w:r>
      <w:r w:rsidRPr="0060648C">
        <w:rPr>
          <w:rFonts w:asciiTheme="minorHAnsi" w:eastAsia="Times New Roman" w:hAnsiTheme="minorHAnsi" w:cstheme="minorHAnsi"/>
          <w:sz w:val="22"/>
          <w:szCs w:val="22"/>
        </w:rPr>
        <w:t>.</w:t>
      </w:r>
    </w:p>
    <w:p w14:paraId="0000004A" w14:textId="77777777" w:rsidR="0001123C" w:rsidRDefault="0001123C" w:rsidP="0060648C">
      <w:pPr>
        <w:spacing w:line="276" w:lineRule="auto"/>
        <w:contextualSpacing/>
        <w:jc w:val="both"/>
        <w:rPr>
          <w:rFonts w:asciiTheme="minorHAnsi" w:eastAsia="Times New Roman" w:hAnsiTheme="minorHAnsi" w:cstheme="minorHAnsi"/>
          <w:sz w:val="22"/>
          <w:szCs w:val="22"/>
        </w:rPr>
      </w:pPr>
    </w:p>
    <w:p w14:paraId="53D33CDE" w14:textId="7C964A07" w:rsidR="0060648C" w:rsidRPr="0060648C" w:rsidRDefault="0060648C" w:rsidP="0060648C">
      <w:pPr>
        <w:spacing w:line="276" w:lineRule="auto"/>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w:t>
      </w:r>
      <w:proofErr w:type="spellStart"/>
      <w:r>
        <w:rPr>
          <w:rFonts w:asciiTheme="minorHAnsi" w:eastAsia="Times New Roman" w:hAnsiTheme="minorHAnsi" w:cstheme="minorHAnsi"/>
          <w:sz w:val="22"/>
          <w:szCs w:val="22"/>
        </w:rPr>
        <w:t>i</w:t>
      </w:r>
      <w:proofErr w:type="spellEnd"/>
      <w:r>
        <w:rPr>
          <w:rFonts w:asciiTheme="minorHAnsi" w:eastAsia="Times New Roman" w:hAnsiTheme="minorHAnsi" w:cstheme="minorHAnsi"/>
          <w:sz w:val="22"/>
          <w:szCs w:val="22"/>
        </w:rPr>
        <w:t xml:space="preserve">) </w:t>
      </w:r>
      <w:r w:rsidRPr="0096187C">
        <w:rPr>
          <w:rFonts w:asciiTheme="minorHAnsi" w:eastAsia="Times New Roman" w:hAnsiTheme="minorHAnsi" w:cstheme="minorHAnsi"/>
          <w:sz w:val="22"/>
          <w:szCs w:val="22"/>
          <w:u w:val="single"/>
        </w:rPr>
        <w:t>New York</w:t>
      </w:r>
      <w:r w:rsidR="0096187C">
        <w:rPr>
          <w:rFonts w:asciiTheme="minorHAnsi" w:eastAsia="Times New Roman" w:hAnsiTheme="minorHAnsi" w:cstheme="minorHAnsi"/>
          <w:sz w:val="22"/>
          <w:szCs w:val="22"/>
        </w:rPr>
        <w:t>:</w:t>
      </w:r>
    </w:p>
    <w:p w14:paraId="0000004B" w14:textId="77777777" w:rsidR="0001123C" w:rsidRPr="0060648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lastRenderedPageBreak/>
        <w:t xml:space="preserve">In the state of New York, assignments are transferable, except when prohibited (i.e., injury claims). The applicable law is the </w:t>
      </w:r>
      <w:r w:rsidRPr="0060648C">
        <w:rPr>
          <w:rFonts w:asciiTheme="minorHAnsi" w:eastAsia="Times New Roman" w:hAnsiTheme="minorHAnsi" w:cstheme="minorHAnsi"/>
          <w:i/>
          <w:sz w:val="22"/>
          <w:szCs w:val="22"/>
        </w:rPr>
        <w:t>General Obligations Law</w:t>
      </w:r>
      <w:r w:rsidRPr="0060648C">
        <w:rPr>
          <w:rFonts w:asciiTheme="minorHAnsi" w:eastAsia="Times New Roman" w:hAnsiTheme="minorHAnsi" w:cstheme="minorHAnsi"/>
          <w:sz w:val="22"/>
          <w:szCs w:val="22"/>
        </w:rPr>
        <w:t xml:space="preserve"> (Title 13). The state of New York is one of the most restrictive with regard to champerty. For example, the </w:t>
      </w:r>
      <w:r w:rsidRPr="0060648C">
        <w:rPr>
          <w:rFonts w:asciiTheme="minorHAnsi" w:eastAsia="Times New Roman" w:hAnsiTheme="minorHAnsi" w:cstheme="minorHAnsi"/>
          <w:i/>
          <w:sz w:val="22"/>
          <w:szCs w:val="22"/>
        </w:rPr>
        <w:t>Judiciary Law</w:t>
      </w:r>
      <w:r w:rsidRPr="0060648C">
        <w:rPr>
          <w:rFonts w:asciiTheme="minorHAnsi" w:eastAsia="Times New Roman" w:hAnsiTheme="minorHAnsi" w:cstheme="minorHAnsi"/>
          <w:sz w:val="22"/>
          <w:szCs w:val="22"/>
        </w:rPr>
        <w:t xml:space="preserve"> §489 prohibits the assignment or purchase with the purpose of bringing an action, although case law has stated that assignment is not </w:t>
      </w:r>
      <w:proofErr w:type="spellStart"/>
      <w:r w:rsidRPr="0060648C">
        <w:rPr>
          <w:rFonts w:asciiTheme="minorHAnsi" w:eastAsia="Times New Roman" w:hAnsiTheme="minorHAnsi" w:cstheme="minorHAnsi"/>
          <w:sz w:val="22"/>
          <w:szCs w:val="22"/>
        </w:rPr>
        <w:t>champertous</w:t>
      </w:r>
      <w:proofErr w:type="spellEnd"/>
      <w:r w:rsidRPr="0060648C">
        <w:rPr>
          <w:rFonts w:asciiTheme="minorHAnsi" w:eastAsia="Times New Roman" w:hAnsiTheme="minorHAnsi" w:cstheme="minorHAnsi"/>
          <w:sz w:val="22"/>
          <w:szCs w:val="22"/>
        </w:rPr>
        <w:t xml:space="preserve"> if this intent is merely incidental or if it is based on a pre-existing interest. The champerty doctrine seeks to prevent opportunistic parties that could profit from litigation claims. New York Courts have adopted a purpose-centred approach. For example, in the </w:t>
      </w:r>
      <w:r w:rsidRPr="0060648C">
        <w:rPr>
          <w:rFonts w:asciiTheme="minorHAnsi" w:eastAsia="Times New Roman" w:hAnsiTheme="minorHAnsi" w:cstheme="minorHAnsi"/>
          <w:i/>
          <w:sz w:val="22"/>
          <w:szCs w:val="22"/>
        </w:rPr>
        <w:t xml:space="preserve">Justinian Capital SPC v </w:t>
      </w:r>
      <w:proofErr w:type="spellStart"/>
      <w:r w:rsidRPr="0060648C">
        <w:rPr>
          <w:rFonts w:asciiTheme="minorHAnsi" w:eastAsia="Times New Roman" w:hAnsiTheme="minorHAnsi" w:cstheme="minorHAnsi"/>
          <w:i/>
          <w:sz w:val="22"/>
          <w:szCs w:val="22"/>
        </w:rPr>
        <w:t>WestLB</w:t>
      </w:r>
      <w:proofErr w:type="spellEnd"/>
      <w:r w:rsidRPr="0060648C">
        <w:rPr>
          <w:rFonts w:asciiTheme="minorHAnsi" w:eastAsia="Times New Roman" w:hAnsiTheme="minorHAnsi" w:cstheme="minorHAnsi"/>
          <w:i/>
          <w:sz w:val="22"/>
          <w:szCs w:val="22"/>
        </w:rPr>
        <w:t xml:space="preserve"> AG</w:t>
      </w:r>
      <w:r w:rsidRPr="0060648C">
        <w:rPr>
          <w:rFonts w:asciiTheme="minorHAnsi" w:eastAsia="Times New Roman" w:hAnsiTheme="minorHAnsi" w:cstheme="minorHAnsi"/>
          <w:i/>
          <w:sz w:val="22"/>
          <w:szCs w:val="22"/>
          <w:vertAlign w:val="superscript"/>
        </w:rPr>
        <w:footnoteReference w:id="4"/>
      </w:r>
      <w:r w:rsidRPr="0060648C">
        <w:rPr>
          <w:rFonts w:asciiTheme="minorHAnsi" w:eastAsia="Times New Roman" w:hAnsiTheme="minorHAnsi" w:cstheme="minorHAnsi"/>
          <w:i/>
          <w:sz w:val="22"/>
          <w:szCs w:val="22"/>
        </w:rPr>
        <w:t xml:space="preserve">, </w:t>
      </w:r>
      <w:r w:rsidRPr="0060648C">
        <w:rPr>
          <w:rFonts w:asciiTheme="minorHAnsi" w:eastAsia="Times New Roman" w:hAnsiTheme="minorHAnsi" w:cstheme="minorHAnsi"/>
          <w:sz w:val="22"/>
          <w:szCs w:val="22"/>
        </w:rPr>
        <w:t xml:space="preserve">the Court concluded that the assignment was </w:t>
      </w:r>
      <w:proofErr w:type="spellStart"/>
      <w:r w:rsidRPr="0060648C">
        <w:rPr>
          <w:rFonts w:asciiTheme="minorHAnsi" w:eastAsia="Times New Roman" w:hAnsiTheme="minorHAnsi" w:cstheme="minorHAnsi"/>
          <w:sz w:val="22"/>
          <w:szCs w:val="22"/>
        </w:rPr>
        <w:t>champertous</w:t>
      </w:r>
      <w:proofErr w:type="spellEnd"/>
      <w:r w:rsidRPr="0060648C">
        <w:rPr>
          <w:rFonts w:asciiTheme="minorHAnsi" w:eastAsia="Times New Roman" w:hAnsiTheme="minorHAnsi" w:cstheme="minorHAnsi"/>
          <w:sz w:val="22"/>
          <w:szCs w:val="22"/>
        </w:rPr>
        <w:t xml:space="preserve"> since the acquisition of notes was done for litigation purposes.</w:t>
      </w:r>
    </w:p>
    <w:p w14:paraId="0000004C" w14:textId="77777777" w:rsidR="0001123C" w:rsidRDefault="0001123C" w:rsidP="0060648C">
      <w:pPr>
        <w:spacing w:line="276" w:lineRule="auto"/>
        <w:contextualSpacing/>
        <w:jc w:val="both"/>
        <w:rPr>
          <w:rFonts w:asciiTheme="minorHAnsi" w:eastAsia="Times New Roman" w:hAnsiTheme="minorHAnsi" w:cstheme="minorHAnsi"/>
          <w:sz w:val="22"/>
          <w:szCs w:val="22"/>
        </w:rPr>
      </w:pPr>
    </w:p>
    <w:p w14:paraId="627BD84C" w14:textId="1960A47C" w:rsidR="0060648C" w:rsidRDefault="0060648C" w:rsidP="0060648C">
      <w:pPr>
        <w:spacing w:line="276" w:lineRule="auto"/>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(ii) </w:t>
      </w:r>
      <w:r w:rsidRPr="0096187C">
        <w:rPr>
          <w:rFonts w:asciiTheme="minorHAnsi" w:eastAsia="Times New Roman" w:hAnsiTheme="minorHAnsi" w:cstheme="minorHAnsi"/>
          <w:sz w:val="22"/>
          <w:szCs w:val="22"/>
          <w:u w:val="single"/>
        </w:rPr>
        <w:t>England and Wales</w:t>
      </w:r>
      <w:r>
        <w:rPr>
          <w:rFonts w:asciiTheme="minorHAnsi" w:eastAsia="Times New Roman" w:hAnsiTheme="minorHAnsi" w:cstheme="minorHAnsi"/>
          <w:sz w:val="22"/>
          <w:szCs w:val="22"/>
        </w:rPr>
        <w:t>:</w:t>
      </w:r>
    </w:p>
    <w:p w14:paraId="3E283B13" w14:textId="77777777" w:rsidR="0060648C" w:rsidRPr="0060648C" w:rsidRDefault="0060648C" w:rsidP="0060648C">
      <w:pPr>
        <w:spacing w:line="276" w:lineRule="auto"/>
        <w:contextualSpacing/>
        <w:jc w:val="both"/>
        <w:rPr>
          <w:rFonts w:asciiTheme="minorHAnsi" w:eastAsia="Times New Roman" w:hAnsiTheme="minorHAnsi" w:cstheme="minorHAnsi"/>
          <w:sz w:val="22"/>
          <w:szCs w:val="22"/>
        </w:rPr>
      </w:pPr>
    </w:p>
    <w:p w14:paraId="0000004D" w14:textId="42EE9B62" w:rsidR="0001123C" w:rsidRPr="0060648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 xml:space="preserve">In a more intermediate position, England and Wales allow assignments if certain conditions are met under Section 136 of the </w:t>
      </w:r>
      <w:r w:rsidRPr="0060648C">
        <w:rPr>
          <w:rFonts w:asciiTheme="minorHAnsi" w:eastAsia="Times New Roman" w:hAnsiTheme="minorHAnsi" w:cstheme="minorHAnsi"/>
          <w:i/>
          <w:iCs/>
          <w:sz w:val="22"/>
          <w:szCs w:val="22"/>
        </w:rPr>
        <w:t>Law of Property Act 1925</w:t>
      </w:r>
      <w:r w:rsidRPr="0060648C">
        <w:rPr>
          <w:rFonts w:asciiTheme="minorHAnsi" w:eastAsia="Times New Roman" w:hAnsiTheme="minorHAnsi" w:cstheme="minorHAnsi"/>
          <w:sz w:val="22"/>
          <w:szCs w:val="22"/>
        </w:rPr>
        <w:t>. The legislation provides that an assignment is effectual in law or valid</w:t>
      </w:r>
      <w:r w:rsidR="008D6FB4" w:rsidRPr="0060648C">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 xml:space="preserve"> provided there is notice to the counterparty as the assignment takes effect from this notice. In </w:t>
      </w:r>
      <w:proofErr w:type="spellStart"/>
      <w:r w:rsidRPr="0060648C">
        <w:rPr>
          <w:rFonts w:asciiTheme="minorHAnsi" w:eastAsia="Times New Roman" w:hAnsiTheme="minorHAnsi" w:cstheme="minorHAnsi"/>
          <w:i/>
          <w:sz w:val="22"/>
          <w:szCs w:val="22"/>
        </w:rPr>
        <w:t>Trendtex</w:t>
      </w:r>
      <w:proofErr w:type="spellEnd"/>
      <w:r w:rsidRPr="0060648C">
        <w:rPr>
          <w:rFonts w:asciiTheme="minorHAnsi" w:eastAsia="Times New Roman" w:hAnsiTheme="minorHAnsi" w:cstheme="minorHAnsi"/>
          <w:i/>
          <w:sz w:val="22"/>
          <w:szCs w:val="22"/>
        </w:rPr>
        <w:t xml:space="preserve"> Trading Corp v Credit Suisse</w:t>
      </w:r>
      <w:r w:rsidRPr="0060648C">
        <w:rPr>
          <w:rFonts w:asciiTheme="minorHAnsi" w:eastAsia="Times New Roman" w:hAnsiTheme="minorHAnsi" w:cstheme="minorHAnsi"/>
          <w:sz w:val="22"/>
          <w:szCs w:val="22"/>
          <w:vertAlign w:val="superscript"/>
        </w:rPr>
        <w:footnoteReference w:id="5"/>
      </w:r>
      <w:r w:rsidRPr="0060648C">
        <w:rPr>
          <w:rFonts w:asciiTheme="minorHAnsi" w:eastAsia="Times New Roman" w:hAnsiTheme="minorHAnsi" w:cstheme="minorHAnsi"/>
          <w:sz w:val="22"/>
          <w:szCs w:val="22"/>
        </w:rPr>
        <w:t xml:space="preserve"> the House of Lords has relaxed its hostility against assignment provided that the assignee can present a genuine commercial interest in the assignment. The genuine interest has to be demonstrated to prevent the trafficking in litigation in a manner that could undermine the administration of justice. Such an interest was successfully demonstrated in the case of </w:t>
      </w:r>
      <w:r w:rsidRPr="0060648C">
        <w:rPr>
          <w:rFonts w:asciiTheme="minorHAnsi" w:eastAsia="Times New Roman" w:hAnsiTheme="minorHAnsi" w:cstheme="minorHAnsi"/>
          <w:i/>
          <w:sz w:val="22"/>
          <w:szCs w:val="22"/>
        </w:rPr>
        <w:t xml:space="preserve">Massai Aviation Services v Attorney General &amp; </w:t>
      </w:r>
      <w:proofErr w:type="spellStart"/>
      <w:r w:rsidRPr="0060648C">
        <w:rPr>
          <w:rFonts w:asciiTheme="minorHAnsi" w:eastAsia="Times New Roman" w:hAnsiTheme="minorHAnsi" w:cstheme="minorHAnsi"/>
          <w:i/>
          <w:sz w:val="22"/>
          <w:szCs w:val="22"/>
        </w:rPr>
        <w:t>Bahamasair</w:t>
      </w:r>
      <w:proofErr w:type="spellEnd"/>
      <w:r w:rsidRPr="0060648C">
        <w:rPr>
          <w:rFonts w:asciiTheme="minorHAnsi" w:eastAsia="Times New Roman" w:hAnsiTheme="minorHAnsi" w:cstheme="minorHAnsi"/>
          <w:sz w:val="22"/>
          <w:szCs w:val="22"/>
          <w:vertAlign w:val="superscript"/>
        </w:rPr>
        <w:footnoteReference w:id="6"/>
      </w:r>
      <w:r w:rsidR="008D6FB4" w:rsidRPr="0060648C">
        <w:rPr>
          <w:rFonts w:asciiTheme="minorHAnsi" w:eastAsia="Times New Roman" w:hAnsiTheme="minorHAnsi" w:cstheme="minorHAnsi"/>
          <w:i/>
          <w:sz w:val="22"/>
          <w:szCs w:val="22"/>
        </w:rPr>
        <w:t>,</w:t>
      </w:r>
      <w:r w:rsidRPr="0060648C">
        <w:rPr>
          <w:rFonts w:asciiTheme="minorHAnsi" w:eastAsia="Times New Roman" w:hAnsiTheme="minorHAnsi" w:cstheme="minorHAnsi"/>
          <w:sz w:val="22"/>
          <w:szCs w:val="22"/>
        </w:rPr>
        <w:t xml:space="preserve"> where the shareholding in the assignee was the same as that of the assignor. </w:t>
      </w:r>
    </w:p>
    <w:p w14:paraId="0000004E" w14:textId="77777777" w:rsidR="0001123C" w:rsidRDefault="0001123C" w:rsidP="0060648C">
      <w:pPr>
        <w:spacing w:line="276" w:lineRule="auto"/>
        <w:contextualSpacing/>
        <w:jc w:val="both"/>
        <w:rPr>
          <w:rFonts w:asciiTheme="minorHAnsi" w:eastAsia="Times New Roman" w:hAnsiTheme="minorHAnsi" w:cstheme="minorHAnsi"/>
          <w:sz w:val="22"/>
          <w:szCs w:val="22"/>
        </w:rPr>
      </w:pPr>
    </w:p>
    <w:p w14:paraId="486E9EB7" w14:textId="47DD981A" w:rsidR="0060648C" w:rsidRDefault="0060648C" w:rsidP="0060648C">
      <w:pPr>
        <w:spacing w:line="276" w:lineRule="auto"/>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(iii) </w:t>
      </w:r>
      <w:r w:rsidRPr="0096187C">
        <w:rPr>
          <w:rFonts w:asciiTheme="minorHAnsi" w:eastAsia="Times New Roman" w:hAnsiTheme="minorHAnsi" w:cstheme="minorHAnsi"/>
          <w:sz w:val="22"/>
          <w:szCs w:val="22"/>
          <w:u w:val="single"/>
        </w:rPr>
        <w:t>Ireland (Republic of)</w:t>
      </w:r>
      <w:r>
        <w:rPr>
          <w:rFonts w:asciiTheme="minorHAnsi" w:eastAsia="Times New Roman" w:hAnsiTheme="minorHAnsi" w:cstheme="minorHAnsi"/>
          <w:sz w:val="22"/>
          <w:szCs w:val="22"/>
        </w:rPr>
        <w:t xml:space="preserve">: </w:t>
      </w:r>
    </w:p>
    <w:p w14:paraId="059F2062" w14:textId="77777777" w:rsidR="0060648C" w:rsidRPr="0060648C" w:rsidRDefault="0060648C" w:rsidP="0060648C">
      <w:pPr>
        <w:spacing w:line="276" w:lineRule="auto"/>
        <w:contextualSpacing/>
        <w:jc w:val="both"/>
        <w:rPr>
          <w:rFonts w:asciiTheme="minorHAnsi" w:eastAsia="Times New Roman" w:hAnsiTheme="minorHAnsi" w:cstheme="minorHAnsi"/>
          <w:sz w:val="22"/>
          <w:szCs w:val="22"/>
        </w:rPr>
      </w:pPr>
    </w:p>
    <w:p w14:paraId="58AEE915" w14:textId="77777777" w:rsidR="0096187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 xml:space="preserve">Ireland has the most restrictive framework with regard to assignment. Although there are exceptions (such as in the case </w:t>
      </w:r>
      <w:r w:rsidR="008D6FB4" w:rsidRPr="0060648C">
        <w:rPr>
          <w:rFonts w:asciiTheme="minorHAnsi" w:eastAsia="Times New Roman" w:hAnsiTheme="minorHAnsi" w:cstheme="minorHAnsi"/>
          <w:sz w:val="22"/>
          <w:szCs w:val="22"/>
        </w:rPr>
        <w:t xml:space="preserve">of </w:t>
      </w:r>
      <w:r w:rsidRPr="0060648C">
        <w:rPr>
          <w:rFonts w:asciiTheme="minorHAnsi" w:eastAsia="Times New Roman" w:hAnsiTheme="minorHAnsi" w:cstheme="minorHAnsi"/>
          <w:i/>
          <w:sz w:val="22"/>
          <w:szCs w:val="22"/>
        </w:rPr>
        <w:t>Waldron v Herring</w:t>
      </w:r>
      <w:r w:rsidR="008D6FB4" w:rsidRPr="0060648C">
        <w:rPr>
          <w:rFonts w:asciiTheme="minorHAnsi" w:eastAsia="Times New Roman" w:hAnsiTheme="minorHAnsi" w:cstheme="minorHAnsi"/>
          <w:i/>
          <w:sz w:val="22"/>
          <w:szCs w:val="22"/>
        </w:rPr>
        <w:t>,</w:t>
      </w:r>
      <w:r w:rsidRPr="0060648C">
        <w:rPr>
          <w:rFonts w:asciiTheme="minorHAnsi" w:eastAsia="Times New Roman" w:hAnsiTheme="minorHAnsi" w:cstheme="minorHAnsi"/>
          <w:i/>
          <w:sz w:val="22"/>
          <w:szCs w:val="22"/>
        </w:rPr>
        <w:t xml:space="preserve"> </w:t>
      </w:r>
      <w:r w:rsidRPr="0060648C">
        <w:rPr>
          <w:rFonts w:asciiTheme="minorHAnsi" w:eastAsia="Times New Roman" w:hAnsiTheme="minorHAnsi" w:cstheme="minorHAnsi"/>
          <w:sz w:val="22"/>
          <w:szCs w:val="22"/>
        </w:rPr>
        <w:t xml:space="preserve">where an assignee of a company’s interest in litigation was substituted as a plaintiff </w:t>
      </w:r>
      <w:r w:rsidRPr="0060648C">
        <w:rPr>
          <w:rFonts w:asciiTheme="minorHAnsi" w:eastAsia="Times New Roman" w:hAnsiTheme="minorHAnsi" w:cstheme="minorHAnsi"/>
          <w:i/>
          <w:iCs/>
          <w:sz w:val="22"/>
          <w:szCs w:val="22"/>
        </w:rPr>
        <w:t>in lieu</w:t>
      </w:r>
      <w:r w:rsidRPr="0060648C">
        <w:rPr>
          <w:rFonts w:asciiTheme="minorHAnsi" w:eastAsia="Times New Roman" w:hAnsiTheme="minorHAnsi" w:cstheme="minorHAnsi"/>
          <w:sz w:val="22"/>
          <w:szCs w:val="22"/>
        </w:rPr>
        <w:t xml:space="preserve"> of the company), Irish law considers maintenance and champerty as crimes and torts. </w:t>
      </w:r>
    </w:p>
    <w:p w14:paraId="6DE555F0" w14:textId="77777777" w:rsidR="0096187C" w:rsidRDefault="0096187C" w:rsidP="0060648C">
      <w:pPr>
        <w:spacing w:line="276" w:lineRule="auto"/>
        <w:contextualSpacing/>
        <w:jc w:val="both"/>
        <w:rPr>
          <w:rFonts w:asciiTheme="minorHAnsi" w:eastAsia="Times New Roman" w:hAnsiTheme="minorHAnsi" w:cstheme="minorHAnsi"/>
          <w:sz w:val="22"/>
          <w:szCs w:val="22"/>
        </w:rPr>
      </w:pPr>
    </w:p>
    <w:p w14:paraId="00000051" w14:textId="24CEB707" w:rsidR="0001123C" w:rsidRPr="0060648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 xml:space="preserve">The Irish case law on champerty has arisen with regard to funding arrangements, and the leading case is the Supreme Court decision in </w:t>
      </w:r>
      <w:r w:rsidRPr="0060648C">
        <w:rPr>
          <w:rFonts w:asciiTheme="minorHAnsi" w:eastAsia="Times New Roman" w:hAnsiTheme="minorHAnsi" w:cstheme="minorHAnsi"/>
          <w:i/>
          <w:sz w:val="22"/>
          <w:szCs w:val="22"/>
        </w:rPr>
        <w:t>SPV Osus v HSBC</w:t>
      </w:r>
      <w:r w:rsidRPr="0060648C">
        <w:rPr>
          <w:rFonts w:asciiTheme="minorHAnsi" w:eastAsia="Times New Roman" w:hAnsiTheme="minorHAnsi" w:cstheme="minorHAnsi"/>
          <w:i/>
          <w:sz w:val="22"/>
          <w:szCs w:val="22"/>
          <w:vertAlign w:val="superscript"/>
        </w:rPr>
        <w:footnoteReference w:id="7"/>
      </w:r>
      <w:r w:rsidRPr="0060648C">
        <w:rPr>
          <w:rFonts w:asciiTheme="minorHAnsi" w:eastAsia="Times New Roman" w:hAnsiTheme="minorHAnsi" w:cstheme="minorHAnsi"/>
          <w:sz w:val="22"/>
          <w:szCs w:val="22"/>
        </w:rPr>
        <w:t>.</w:t>
      </w:r>
      <w:r w:rsidR="0096187C">
        <w:rPr>
          <w:rFonts w:asciiTheme="minorHAnsi" w:eastAsia="Times New Roman" w:hAnsiTheme="minorHAnsi" w:cstheme="minorHAnsi"/>
          <w:sz w:val="22"/>
          <w:szCs w:val="22"/>
        </w:rPr>
        <w:t xml:space="preserve"> In this case, </w:t>
      </w:r>
      <w:r w:rsidRPr="0060648C">
        <w:rPr>
          <w:rFonts w:asciiTheme="minorHAnsi" w:eastAsia="Times New Roman" w:hAnsiTheme="minorHAnsi" w:cstheme="minorHAnsi"/>
          <w:sz w:val="22"/>
          <w:szCs w:val="22"/>
        </w:rPr>
        <w:t xml:space="preserve">Judge O’Donnell underlined the importance of a legitimate and sufficient interest to justify assignment. For this, the Judge also referred to </w:t>
      </w:r>
      <w:proofErr w:type="spellStart"/>
      <w:r w:rsidRPr="0060648C">
        <w:rPr>
          <w:rFonts w:asciiTheme="minorHAnsi" w:eastAsia="Times New Roman" w:hAnsiTheme="minorHAnsi" w:cstheme="minorHAnsi"/>
          <w:i/>
          <w:sz w:val="22"/>
          <w:szCs w:val="22"/>
        </w:rPr>
        <w:t>Trendtex</w:t>
      </w:r>
      <w:proofErr w:type="spellEnd"/>
      <w:r w:rsidRPr="0060648C">
        <w:rPr>
          <w:rFonts w:asciiTheme="minorHAnsi" w:eastAsia="Times New Roman" w:hAnsiTheme="minorHAnsi" w:cstheme="minorHAnsi"/>
          <w:sz w:val="22"/>
          <w:szCs w:val="22"/>
          <w:vertAlign w:val="superscript"/>
        </w:rPr>
        <w:footnoteReference w:id="8"/>
      </w:r>
      <w:r w:rsidRPr="0060648C">
        <w:rPr>
          <w:rFonts w:asciiTheme="minorHAnsi" w:eastAsia="Times New Roman" w:hAnsiTheme="minorHAnsi" w:cstheme="minorHAnsi"/>
          <w:sz w:val="22"/>
          <w:szCs w:val="22"/>
        </w:rPr>
        <w:t xml:space="preserve">, where the House of Lords established that an assignment of the right to litigate is unenforceable unless a genuine commercial interest of an assignee can be proven. </w:t>
      </w:r>
    </w:p>
    <w:p w14:paraId="00000052" w14:textId="77777777" w:rsidR="0001123C" w:rsidRPr="0060648C" w:rsidRDefault="0001123C" w:rsidP="0060648C">
      <w:pPr>
        <w:spacing w:line="276" w:lineRule="auto"/>
        <w:contextualSpacing/>
        <w:jc w:val="both"/>
        <w:rPr>
          <w:rFonts w:asciiTheme="minorHAnsi" w:eastAsia="Times New Roman" w:hAnsiTheme="minorHAnsi" w:cstheme="minorHAnsi"/>
          <w:sz w:val="22"/>
          <w:szCs w:val="22"/>
        </w:rPr>
      </w:pPr>
    </w:p>
    <w:p w14:paraId="00000053" w14:textId="69803A9C" w:rsidR="0001123C" w:rsidRPr="0060648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lastRenderedPageBreak/>
        <w:t xml:space="preserve">In </w:t>
      </w:r>
      <w:r w:rsidRPr="0060648C">
        <w:rPr>
          <w:rFonts w:asciiTheme="minorHAnsi" w:eastAsia="Times New Roman" w:hAnsiTheme="minorHAnsi" w:cstheme="minorHAnsi"/>
          <w:i/>
          <w:sz w:val="22"/>
          <w:szCs w:val="22"/>
        </w:rPr>
        <w:t>Scully v Coucal Limited</w:t>
      </w:r>
      <w:r w:rsidRPr="0060648C">
        <w:rPr>
          <w:rFonts w:asciiTheme="minorHAnsi" w:eastAsia="Times New Roman" w:hAnsiTheme="minorHAnsi" w:cstheme="minorHAnsi"/>
          <w:sz w:val="22"/>
          <w:szCs w:val="22"/>
        </w:rPr>
        <w:t xml:space="preserve">, the Irish Supreme Court reviewed the </w:t>
      </w:r>
      <w:r w:rsidRPr="0060648C">
        <w:rPr>
          <w:rFonts w:asciiTheme="minorHAnsi" w:eastAsia="Times New Roman" w:hAnsiTheme="minorHAnsi" w:cstheme="minorHAnsi"/>
          <w:i/>
          <w:sz w:val="22"/>
          <w:szCs w:val="22"/>
        </w:rPr>
        <w:t>Osus</w:t>
      </w:r>
      <w:r w:rsidRPr="0060648C">
        <w:rPr>
          <w:rFonts w:asciiTheme="minorHAnsi" w:eastAsia="Times New Roman" w:hAnsiTheme="minorHAnsi" w:cstheme="minorHAnsi"/>
          <w:sz w:val="22"/>
          <w:szCs w:val="22"/>
        </w:rPr>
        <w:t xml:space="preserve"> and </w:t>
      </w:r>
      <w:proofErr w:type="spellStart"/>
      <w:r w:rsidRPr="0060648C">
        <w:rPr>
          <w:rFonts w:asciiTheme="minorHAnsi" w:eastAsia="Times New Roman" w:hAnsiTheme="minorHAnsi" w:cstheme="minorHAnsi"/>
          <w:i/>
          <w:sz w:val="22"/>
          <w:szCs w:val="22"/>
        </w:rPr>
        <w:t>Trendtex</w:t>
      </w:r>
      <w:proofErr w:type="spellEnd"/>
      <w:r w:rsidRPr="0060648C">
        <w:rPr>
          <w:rFonts w:asciiTheme="minorHAnsi" w:eastAsia="Times New Roman" w:hAnsiTheme="minorHAnsi" w:cstheme="minorHAnsi"/>
          <w:sz w:val="22"/>
          <w:szCs w:val="22"/>
        </w:rPr>
        <w:t xml:space="preserve"> cases and unanimously confirmed that a Polish judgment based on an assigned right to sue was not </w:t>
      </w:r>
      <w:r w:rsidR="008D6FB4" w:rsidRPr="0060648C">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manifestly contrary to public policy</w:t>
      </w:r>
      <w:r w:rsidR="008D6FB4" w:rsidRPr="0060648C">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 xml:space="preserve"> and could be recognized and enforced in Ireland.</w:t>
      </w:r>
      <w:r w:rsidR="008D6FB4" w:rsidRPr="0060648C">
        <w:rPr>
          <w:rStyle w:val="FootnoteReference"/>
          <w:rFonts w:asciiTheme="minorHAnsi" w:eastAsia="Times New Roman" w:hAnsiTheme="minorHAnsi" w:cstheme="minorHAnsi"/>
          <w:sz w:val="22"/>
          <w:szCs w:val="22"/>
        </w:rPr>
        <w:footnoteReference w:id="9"/>
      </w:r>
      <w:r w:rsidRPr="0060648C">
        <w:rPr>
          <w:rFonts w:asciiTheme="minorHAnsi" w:eastAsia="Times New Roman" w:hAnsiTheme="minorHAnsi" w:cstheme="minorHAnsi"/>
          <w:sz w:val="22"/>
          <w:szCs w:val="22"/>
        </w:rPr>
        <w:t xml:space="preserve"> </w:t>
      </w:r>
    </w:p>
    <w:p w14:paraId="00000054" w14:textId="77777777" w:rsidR="0001123C" w:rsidRPr="0060648C" w:rsidRDefault="0001123C" w:rsidP="0060648C">
      <w:pPr>
        <w:spacing w:line="276" w:lineRule="auto"/>
        <w:contextualSpacing/>
        <w:jc w:val="both"/>
        <w:rPr>
          <w:rFonts w:asciiTheme="minorHAnsi" w:eastAsia="Times New Roman" w:hAnsiTheme="minorHAnsi" w:cstheme="minorHAnsi"/>
          <w:sz w:val="22"/>
          <w:szCs w:val="22"/>
        </w:rPr>
      </w:pPr>
    </w:p>
    <w:p w14:paraId="00000055" w14:textId="7F1F4157" w:rsidR="0001123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 xml:space="preserve">Mr. Carey observed that a definition of a </w:t>
      </w:r>
      <w:r w:rsidR="008D6FB4" w:rsidRPr="0060648C">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genuine commercial interest</w:t>
      </w:r>
      <w:r w:rsidR="008D6FB4" w:rsidRPr="0060648C">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 xml:space="preserve"> is an issue open to interpretation and that this area might benefit from legislative attention. </w:t>
      </w:r>
    </w:p>
    <w:p w14:paraId="00000056" w14:textId="77777777" w:rsidR="0001123C" w:rsidRPr="0060648C" w:rsidRDefault="0001123C" w:rsidP="0060648C">
      <w:pPr>
        <w:spacing w:line="276" w:lineRule="auto"/>
        <w:contextualSpacing/>
        <w:jc w:val="both"/>
        <w:rPr>
          <w:rFonts w:asciiTheme="minorHAnsi" w:eastAsia="Times New Roman" w:hAnsiTheme="minorHAnsi" w:cstheme="minorHAnsi"/>
          <w:sz w:val="22"/>
          <w:szCs w:val="22"/>
        </w:rPr>
      </w:pPr>
    </w:p>
    <w:p w14:paraId="00000059" w14:textId="20335966" w:rsidR="0001123C" w:rsidRPr="0060648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b/>
          <w:sz w:val="22"/>
          <w:szCs w:val="22"/>
          <w:highlight w:val="white"/>
        </w:rPr>
        <w:t xml:space="preserve">Mister Justice </w:t>
      </w:r>
      <w:r w:rsidRPr="0060648C">
        <w:rPr>
          <w:rFonts w:asciiTheme="minorHAnsi" w:eastAsia="Times New Roman" w:hAnsiTheme="minorHAnsi" w:cstheme="minorHAnsi"/>
          <w:b/>
          <w:sz w:val="22"/>
          <w:szCs w:val="22"/>
        </w:rPr>
        <w:t xml:space="preserve">Maurice Collins </w:t>
      </w:r>
      <w:r w:rsidRPr="0060648C">
        <w:rPr>
          <w:rFonts w:asciiTheme="minorHAnsi" w:eastAsia="Times New Roman" w:hAnsiTheme="minorHAnsi" w:cstheme="minorHAnsi"/>
          <w:sz w:val="22"/>
          <w:szCs w:val="22"/>
        </w:rPr>
        <w:t>commented on this part by stating that limited funding</w:t>
      </w:r>
      <w:r w:rsidR="008D6FB4" w:rsidRPr="0060648C">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 xml:space="preserve"> coupled with strict anti-assignment laws</w:t>
      </w:r>
      <w:r w:rsidR="007D6C6F" w:rsidRPr="0060648C">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 xml:space="preserve"> may prevent certain claims from being pursued. On top of that, aggregated claims can lead to impractical application under Irish law.</w:t>
      </w:r>
      <w:r w:rsidR="007D6C6F" w:rsidRPr="0060648C">
        <w:rPr>
          <w:rFonts w:asciiTheme="minorHAnsi" w:eastAsia="Times New Roman" w:hAnsiTheme="minorHAnsi" w:cstheme="minorHAnsi"/>
          <w:sz w:val="22"/>
          <w:szCs w:val="22"/>
        </w:rPr>
        <w:t xml:space="preserve"> </w:t>
      </w:r>
      <w:r w:rsidRPr="0060648C">
        <w:rPr>
          <w:rFonts w:asciiTheme="minorHAnsi" w:eastAsia="Times New Roman" w:hAnsiTheme="minorHAnsi" w:cstheme="minorHAnsi"/>
          <w:sz w:val="22"/>
          <w:szCs w:val="22"/>
        </w:rPr>
        <w:t>Individual claims of aggravated claims are allowed under Irish law</w:t>
      </w:r>
      <w:r w:rsidR="007D6C6F" w:rsidRPr="0060648C">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 xml:space="preserve"> and it is a fairly established model in other countries as well, for example</w:t>
      </w:r>
      <w:r w:rsidR="007D6C6F" w:rsidRPr="0060648C">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 xml:space="preserve"> in Germany. </w:t>
      </w:r>
    </w:p>
    <w:p w14:paraId="0000005A" w14:textId="77777777" w:rsidR="0001123C" w:rsidRPr="0060648C" w:rsidRDefault="0001123C" w:rsidP="0060648C">
      <w:pPr>
        <w:spacing w:line="276" w:lineRule="auto"/>
        <w:contextualSpacing/>
        <w:jc w:val="both"/>
        <w:rPr>
          <w:rFonts w:asciiTheme="minorHAnsi" w:eastAsia="Times New Roman" w:hAnsiTheme="minorHAnsi" w:cstheme="minorHAnsi"/>
          <w:sz w:val="22"/>
          <w:szCs w:val="22"/>
        </w:rPr>
      </w:pPr>
    </w:p>
    <w:p w14:paraId="0000005D" w14:textId="7506EBA8" w:rsidR="0001123C" w:rsidRPr="0060648C" w:rsidRDefault="00000000" w:rsidP="0060648C">
      <w:pPr>
        <w:spacing w:line="276" w:lineRule="auto"/>
        <w:contextualSpacing/>
        <w:jc w:val="both"/>
        <w:rPr>
          <w:rFonts w:asciiTheme="minorHAnsi" w:eastAsia="Times New Roman" w:hAnsiTheme="minorHAnsi" w:cstheme="minorHAnsi"/>
          <w:sz w:val="22"/>
          <w:szCs w:val="22"/>
        </w:rPr>
      </w:pPr>
      <w:sdt>
        <w:sdtPr>
          <w:rPr>
            <w:rFonts w:asciiTheme="minorHAnsi" w:hAnsiTheme="minorHAnsi" w:cstheme="minorHAnsi"/>
          </w:rPr>
          <w:tag w:val="goog_rdk_6"/>
          <w:id w:val="-638823689"/>
        </w:sdtPr>
        <w:sdtContent/>
      </w:sdt>
      <w:sdt>
        <w:sdtPr>
          <w:rPr>
            <w:rFonts w:asciiTheme="minorHAnsi" w:hAnsiTheme="minorHAnsi" w:cstheme="minorHAnsi"/>
          </w:rPr>
          <w:tag w:val="goog_rdk_7"/>
          <w:id w:val="-1910953138"/>
        </w:sdtPr>
        <w:sdtContent/>
      </w:sdt>
      <w:r w:rsidRPr="0060648C">
        <w:rPr>
          <w:rFonts w:asciiTheme="minorHAnsi" w:eastAsia="Times New Roman" w:hAnsiTheme="minorHAnsi" w:cstheme="minorHAnsi"/>
          <w:sz w:val="22"/>
          <w:szCs w:val="22"/>
        </w:rPr>
        <w:t xml:space="preserve">But there is an assumption against the bear rights of action to litigate of the assignee. In </w:t>
      </w:r>
      <w:r w:rsidRPr="0060648C">
        <w:rPr>
          <w:rFonts w:asciiTheme="minorHAnsi" w:eastAsia="Times New Roman" w:hAnsiTheme="minorHAnsi" w:cstheme="minorHAnsi"/>
          <w:i/>
          <w:sz w:val="22"/>
          <w:szCs w:val="22"/>
        </w:rPr>
        <w:t>McCool v Honeywell</w:t>
      </w:r>
      <w:r w:rsidRPr="0060648C">
        <w:rPr>
          <w:rFonts w:asciiTheme="minorHAnsi" w:eastAsia="Times New Roman" w:hAnsiTheme="minorHAnsi" w:cstheme="minorHAnsi"/>
          <w:sz w:val="22"/>
          <w:szCs w:val="22"/>
          <w:vertAlign w:val="superscript"/>
        </w:rPr>
        <w:footnoteReference w:id="10"/>
      </w:r>
      <w:r w:rsidRPr="0060648C">
        <w:rPr>
          <w:rFonts w:asciiTheme="minorHAnsi" w:eastAsia="Times New Roman" w:hAnsiTheme="minorHAnsi" w:cstheme="minorHAnsi"/>
          <w:sz w:val="22"/>
          <w:szCs w:val="22"/>
        </w:rPr>
        <w:t>, the plaintiff, McCool</w:t>
      </w:r>
      <w:r w:rsidR="007D6C6F" w:rsidRPr="0060648C">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 xml:space="preserve"> could litigate as he was representing himself as </w:t>
      </w:r>
      <w:r w:rsidR="007D6C6F" w:rsidRPr="0060648C">
        <w:rPr>
          <w:rFonts w:asciiTheme="minorHAnsi" w:eastAsia="Times New Roman" w:hAnsiTheme="minorHAnsi" w:cstheme="minorHAnsi"/>
          <w:sz w:val="22"/>
          <w:szCs w:val="22"/>
        </w:rPr>
        <w:t xml:space="preserve">an </w:t>
      </w:r>
      <w:r w:rsidRPr="0060648C">
        <w:rPr>
          <w:rFonts w:asciiTheme="minorHAnsi" w:eastAsia="Times New Roman" w:hAnsiTheme="minorHAnsi" w:cstheme="minorHAnsi"/>
          <w:sz w:val="22"/>
          <w:szCs w:val="22"/>
        </w:rPr>
        <w:t>individual, not as a company. Honeywell, by contrast</w:t>
      </w:r>
      <w:r w:rsidR="007D6C6F" w:rsidRPr="0060648C">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 xml:space="preserve"> was unable to afford litigation.</w:t>
      </w:r>
      <w:r w:rsidR="007D6C6F" w:rsidRPr="0060648C">
        <w:rPr>
          <w:rFonts w:asciiTheme="minorHAnsi" w:eastAsia="Times New Roman" w:hAnsiTheme="minorHAnsi" w:cstheme="minorHAnsi"/>
          <w:sz w:val="22"/>
          <w:szCs w:val="22"/>
        </w:rPr>
        <w:t xml:space="preserve"> In this regard, i</w:t>
      </w:r>
      <w:r w:rsidRPr="0060648C">
        <w:rPr>
          <w:rFonts w:asciiTheme="minorHAnsi" w:eastAsia="Times New Roman" w:hAnsiTheme="minorHAnsi" w:cstheme="minorHAnsi"/>
          <w:sz w:val="22"/>
          <w:szCs w:val="22"/>
        </w:rPr>
        <w:t>t is important to consider the proportionality of the individual and the value of the claim to determine the permissibility of an assignment. A shareholder does not have an action against the defendant from the corporation to the shareholder.</w:t>
      </w:r>
    </w:p>
    <w:p w14:paraId="0000005E" w14:textId="77777777" w:rsidR="0001123C" w:rsidRPr="0060648C" w:rsidRDefault="0001123C" w:rsidP="0060648C">
      <w:pPr>
        <w:spacing w:line="276" w:lineRule="auto"/>
        <w:contextualSpacing/>
        <w:jc w:val="both"/>
        <w:rPr>
          <w:rFonts w:asciiTheme="minorHAnsi" w:eastAsia="Times New Roman" w:hAnsiTheme="minorHAnsi" w:cstheme="minorHAnsi"/>
          <w:sz w:val="22"/>
          <w:szCs w:val="22"/>
        </w:rPr>
      </w:pPr>
    </w:p>
    <w:p w14:paraId="0000005F" w14:textId="73BCCF4F" w:rsidR="0001123C" w:rsidRPr="0060648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 xml:space="preserve">A further complication arises where judgments obtained abroad are assigned. </w:t>
      </w:r>
      <w:r w:rsidR="00914464" w:rsidRPr="0060648C">
        <w:rPr>
          <w:rFonts w:asciiTheme="minorHAnsi" w:eastAsia="Times New Roman" w:hAnsiTheme="minorHAnsi" w:cstheme="minorHAnsi"/>
          <w:sz w:val="22"/>
          <w:szCs w:val="22"/>
        </w:rPr>
        <w:t xml:space="preserve">In </w:t>
      </w:r>
      <w:r w:rsidR="00914464" w:rsidRPr="0060648C">
        <w:rPr>
          <w:rFonts w:asciiTheme="minorHAnsi" w:eastAsia="Times New Roman" w:hAnsiTheme="minorHAnsi" w:cstheme="minorHAnsi"/>
          <w:i/>
          <w:sz w:val="22"/>
          <w:szCs w:val="22"/>
        </w:rPr>
        <w:t>Scully v Coucal Limited</w:t>
      </w:r>
      <w:r w:rsidR="00914464" w:rsidRPr="0060648C">
        <w:rPr>
          <w:rFonts w:asciiTheme="minorHAnsi" w:eastAsia="Times New Roman" w:hAnsiTheme="minorHAnsi" w:cstheme="minorHAnsi"/>
          <w:sz w:val="22"/>
          <w:szCs w:val="22"/>
        </w:rPr>
        <w:t>, a</w:t>
      </w:r>
      <w:r w:rsidRPr="0060648C">
        <w:rPr>
          <w:rFonts w:asciiTheme="minorHAnsi" w:eastAsia="Times New Roman" w:hAnsiTheme="minorHAnsi" w:cstheme="minorHAnsi"/>
          <w:sz w:val="22"/>
          <w:szCs w:val="22"/>
        </w:rPr>
        <w:t xml:space="preserve"> judgment was obtained from Poland.</w:t>
      </w:r>
      <w:r w:rsidR="00914464" w:rsidRPr="0060648C">
        <w:rPr>
          <w:rStyle w:val="FootnoteReference"/>
          <w:rFonts w:asciiTheme="minorHAnsi" w:eastAsia="Times New Roman" w:hAnsiTheme="minorHAnsi" w:cstheme="minorHAnsi"/>
          <w:sz w:val="22"/>
          <w:szCs w:val="22"/>
        </w:rPr>
        <w:footnoteReference w:id="11"/>
      </w:r>
      <w:r w:rsidRPr="0060648C">
        <w:rPr>
          <w:rFonts w:asciiTheme="minorHAnsi" w:eastAsia="Times New Roman" w:hAnsiTheme="minorHAnsi" w:cstheme="minorHAnsi"/>
          <w:sz w:val="22"/>
          <w:szCs w:val="22"/>
        </w:rPr>
        <w:t xml:space="preserve"> Thus</w:t>
      </w:r>
      <w:r w:rsidR="007D6C6F" w:rsidRPr="0060648C">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 xml:space="preserve"> </w:t>
      </w:r>
      <w:r w:rsidR="007D6C6F" w:rsidRPr="0060648C">
        <w:rPr>
          <w:rFonts w:asciiTheme="minorHAnsi" w:eastAsia="Times New Roman" w:hAnsiTheme="minorHAnsi" w:cstheme="minorHAnsi"/>
          <w:sz w:val="22"/>
          <w:szCs w:val="22"/>
        </w:rPr>
        <w:t>C</w:t>
      </w:r>
      <w:r w:rsidRPr="0060648C">
        <w:rPr>
          <w:rFonts w:asciiTheme="minorHAnsi" w:eastAsia="Times New Roman" w:hAnsiTheme="minorHAnsi" w:cstheme="minorHAnsi"/>
          <w:sz w:val="22"/>
          <w:szCs w:val="22"/>
        </w:rPr>
        <w:t xml:space="preserve">ourts faced uncertainty </w:t>
      </w:r>
      <w:r w:rsidR="007D6C6F" w:rsidRPr="0060648C">
        <w:rPr>
          <w:rFonts w:asciiTheme="minorHAnsi" w:eastAsia="Times New Roman" w:hAnsiTheme="minorHAnsi" w:cstheme="minorHAnsi"/>
          <w:sz w:val="22"/>
          <w:szCs w:val="22"/>
        </w:rPr>
        <w:t>in</w:t>
      </w:r>
      <w:r w:rsidRPr="0060648C">
        <w:rPr>
          <w:rFonts w:asciiTheme="minorHAnsi" w:eastAsia="Times New Roman" w:hAnsiTheme="minorHAnsi" w:cstheme="minorHAnsi"/>
          <w:sz w:val="22"/>
          <w:szCs w:val="22"/>
        </w:rPr>
        <w:t xml:space="preserve"> determin</w:t>
      </w:r>
      <w:r w:rsidR="007D6C6F" w:rsidRPr="0060648C">
        <w:rPr>
          <w:rFonts w:asciiTheme="minorHAnsi" w:eastAsia="Times New Roman" w:hAnsiTheme="minorHAnsi" w:cstheme="minorHAnsi"/>
          <w:sz w:val="22"/>
          <w:szCs w:val="22"/>
        </w:rPr>
        <w:t>ing</w:t>
      </w:r>
      <w:r w:rsidRPr="0060648C">
        <w:rPr>
          <w:rFonts w:asciiTheme="minorHAnsi" w:eastAsia="Times New Roman" w:hAnsiTheme="minorHAnsi" w:cstheme="minorHAnsi"/>
          <w:sz w:val="22"/>
          <w:szCs w:val="22"/>
        </w:rPr>
        <w:t xml:space="preserve"> award assignment and </w:t>
      </w:r>
      <w:r w:rsidR="007D6C6F" w:rsidRPr="0060648C">
        <w:rPr>
          <w:rFonts w:asciiTheme="minorHAnsi" w:eastAsia="Times New Roman" w:hAnsiTheme="minorHAnsi" w:cstheme="minorHAnsi"/>
          <w:sz w:val="22"/>
          <w:szCs w:val="22"/>
        </w:rPr>
        <w:t xml:space="preserve">the </w:t>
      </w:r>
      <w:r w:rsidRPr="0060648C">
        <w:rPr>
          <w:rFonts w:asciiTheme="minorHAnsi" w:eastAsia="Times New Roman" w:hAnsiTheme="minorHAnsi" w:cstheme="minorHAnsi"/>
          <w:sz w:val="22"/>
          <w:szCs w:val="22"/>
        </w:rPr>
        <w:t xml:space="preserve">enforcement of the judgment. The possibility of award assignment meant it could be prosecuted under public policy. The assignment itself was permissible under Irish law. </w:t>
      </w:r>
    </w:p>
    <w:p w14:paraId="00000060" w14:textId="77777777" w:rsidR="0001123C" w:rsidRPr="0060648C" w:rsidRDefault="0001123C" w:rsidP="0060648C">
      <w:pPr>
        <w:spacing w:line="276" w:lineRule="auto"/>
        <w:contextualSpacing/>
        <w:jc w:val="both"/>
        <w:rPr>
          <w:rFonts w:asciiTheme="minorHAnsi" w:eastAsia="Times New Roman" w:hAnsiTheme="minorHAnsi" w:cstheme="minorHAnsi"/>
          <w:sz w:val="22"/>
          <w:szCs w:val="22"/>
        </w:rPr>
      </w:pPr>
    </w:p>
    <w:p w14:paraId="00000061" w14:textId="77777777" w:rsidR="0001123C" w:rsidRPr="0060648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 xml:space="preserve">Aggregation of litigation funding is possible if it is not a small claim and if it is not contrary to public policy. The aggravation of claims by assignment opens up competition for claims. The prohibition of litigation funding was contrary to the constitutional law. There is a conditional approach. An aggregation of small claims that may form into one large claim may be introduced under Irish law. </w:t>
      </w:r>
    </w:p>
    <w:p w14:paraId="00000064" w14:textId="77777777" w:rsidR="0001123C" w:rsidRPr="0060648C" w:rsidRDefault="0001123C" w:rsidP="0060648C">
      <w:pPr>
        <w:spacing w:line="276" w:lineRule="auto"/>
        <w:contextualSpacing/>
        <w:jc w:val="both"/>
        <w:rPr>
          <w:rFonts w:asciiTheme="minorHAnsi" w:eastAsia="Times New Roman" w:hAnsiTheme="minorHAnsi" w:cstheme="minorHAnsi"/>
          <w:b/>
          <w:color w:val="000000"/>
        </w:rPr>
      </w:pPr>
    </w:p>
    <w:p w14:paraId="00000066" w14:textId="7E7FD75F" w:rsidR="0001123C" w:rsidRPr="0060648C" w:rsidRDefault="00000000" w:rsidP="0060648C">
      <w:pPr>
        <w:spacing w:line="276" w:lineRule="auto"/>
        <w:contextualSpacing/>
        <w:jc w:val="both"/>
        <w:rPr>
          <w:rFonts w:asciiTheme="minorHAnsi" w:eastAsia="Times New Roman" w:hAnsiTheme="minorHAnsi" w:cstheme="minorHAnsi"/>
          <w:b/>
          <w:color w:val="000000"/>
          <w:sz w:val="22"/>
          <w:szCs w:val="22"/>
        </w:rPr>
      </w:pPr>
      <w:r w:rsidRPr="0060648C">
        <w:rPr>
          <w:rFonts w:asciiTheme="minorHAnsi" w:eastAsia="Times New Roman" w:hAnsiTheme="minorHAnsi" w:cstheme="minorHAnsi"/>
          <w:b/>
          <w:color w:val="000000"/>
          <w:sz w:val="22"/>
          <w:szCs w:val="22"/>
        </w:rPr>
        <w:t>15.40 – 16.10:</w:t>
      </w:r>
      <w:r w:rsidR="00EB625E" w:rsidRPr="0060648C">
        <w:rPr>
          <w:rFonts w:asciiTheme="minorHAnsi" w:eastAsia="Times New Roman" w:hAnsiTheme="minorHAnsi" w:cstheme="minorHAnsi"/>
          <w:b/>
          <w:color w:val="000000"/>
          <w:sz w:val="22"/>
          <w:szCs w:val="22"/>
        </w:rPr>
        <w:t xml:space="preserve"> </w:t>
      </w:r>
      <w:r w:rsidRPr="0060648C">
        <w:rPr>
          <w:rFonts w:asciiTheme="minorHAnsi" w:eastAsia="Times New Roman" w:hAnsiTheme="minorHAnsi" w:cstheme="minorHAnsi"/>
          <w:b/>
          <w:color w:val="000000"/>
          <w:sz w:val="22"/>
          <w:szCs w:val="22"/>
        </w:rPr>
        <w:t>Topic 3: Litigation funding - the facility (</w:t>
      </w:r>
      <w:r w:rsidRPr="0060648C">
        <w:rPr>
          <w:rFonts w:asciiTheme="minorHAnsi" w:eastAsia="Times New Roman" w:hAnsiTheme="minorHAnsi" w:cstheme="minorHAnsi"/>
          <w:b/>
          <w:sz w:val="22"/>
          <w:szCs w:val="22"/>
        </w:rPr>
        <w:t>or l</w:t>
      </w:r>
      <w:r w:rsidRPr="0060648C">
        <w:rPr>
          <w:rFonts w:asciiTheme="minorHAnsi" w:eastAsia="Times New Roman" w:hAnsiTheme="minorHAnsi" w:cstheme="minorHAnsi"/>
          <w:b/>
          <w:color w:val="000000"/>
          <w:sz w:val="22"/>
          <w:szCs w:val="22"/>
        </w:rPr>
        <w:t>ack thereof)</w:t>
      </w:r>
    </w:p>
    <w:p w14:paraId="3EA641B5" w14:textId="77777777" w:rsidR="00EB625E" w:rsidRPr="0060648C" w:rsidRDefault="00EB625E" w:rsidP="0060648C">
      <w:pPr>
        <w:spacing w:line="276" w:lineRule="auto"/>
        <w:contextualSpacing/>
        <w:jc w:val="both"/>
        <w:rPr>
          <w:rFonts w:asciiTheme="minorHAnsi" w:eastAsia="Times New Roman" w:hAnsiTheme="minorHAnsi" w:cstheme="minorHAnsi"/>
          <w:b/>
          <w:color w:val="000000"/>
          <w:sz w:val="22"/>
          <w:szCs w:val="22"/>
        </w:rPr>
      </w:pPr>
    </w:p>
    <w:p w14:paraId="00000067" w14:textId="77777777" w:rsidR="0001123C" w:rsidRPr="0060648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 xml:space="preserve">The third part of the symposium concerned litigation funding in Ireland by way of comparison with the funding regimes in England and New York. It was presented by </w:t>
      </w:r>
      <w:r w:rsidRPr="0060648C">
        <w:rPr>
          <w:rFonts w:asciiTheme="minorHAnsi" w:eastAsia="Times New Roman" w:hAnsiTheme="minorHAnsi" w:cstheme="minorHAnsi"/>
          <w:b/>
          <w:sz w:val="22"/>
          <w:szCs w:val="22"/>
        </w:rPr>
        <w:t>Ms. Eve Mulconrey</w:t>
      </w:r>
      <w:r w:rsidRPr="0060648C">
        <w:rPr>
          <w:rFonts w:asciiTheme="minorHAnsi" w:eastAsia="Times New Roman" w:hAnsiTheme="minorHAnsi" w:cstheme="minorHAnsi"/>
          <w:sz w:val="22"/>
          <w:szCs w:val="22"/>
        </w:rPr>
        <w:t xml:space="preserve"> and </w:t>
      </w:r>
      <w:r w:rsidRPr="0060648C">
        <w:rPr>
          <w:rFonts w:asciiTheme="minorHAnsi" w:eastAsia="Times New Roman" w:hAnsiTheme="minorHAnsi" w:cstheme="minorHAnsi"/>
          <w:b/>
          <w:sz w:val="22"/>
          <w:szCs w:val="22"/>
        </w:rPr>
        <w:t>Mr. Connell O’Shaughnessy</w:t>
      </w:r>
      <w:r w:rsidRPr="0060648C">
        <w:rPr>
          <w:rFonts w:asciiTheme="minorHAnsi" w:eastAsia="Times New Roman" w:hAnsiTheme="minorHAnsi" w:cstheme="minorHAnsi"/>
          <w:sz w:val="22"/>
          <w:szCs w:val="22"/>
        </w:rPr>
        <w:t xml:space="preserve">, both partners in litigation at </w:t>
      </w:r>
      <w:r w:rsidRPr="0060648C">
        <w:rPr>
          <w:rFonts w:asciiTheme="minorHAnsi" w:eastAsia="Times New Roman" w:hAnsiTheme="minorHAnsi" w:cstheme="minorHAnsi"/>
          <w:i/>
          <w:sz w:val="22"/>
          <w:szCs w:val="22"/>
        </w:rPr>
        <w:t>Arthur Cox LLP</w:t>
      </w:r>
      <w:r w:rsidRPr="0060648C">
        <w:rPr>
          <w:rFonts w:asciiTheme="minorHAnsi" w:eastAsia="Times New Roman" w:hAnsiTheme="minorHAnsi" w:cstheme="minorHAnsi"/>
          <w:sz w:val="22"/>
          <w:szCs w:val="22"/>
        </w:rPr>
        <w:t xml:space="preserve">. </w:t>
      </w:r>
    </w:p>
    <w:p w14:paraId="00000068" w14:textId="77777777" w:rsidR="0001123C" w:rsidRPr="0060648C" w:rsidRDefault="0001123C" w:rsidP="0060648C">
      <w:pPr>
        <w:spacing w:line="276" w:lineRule="auto"/>
        <w:contextualSpacing/>
        <w:jc w:val="both"/>
        <w:rPr>
          <w:rFonts w:asciiTheme="minorHAnsi" w:eastAsia="Times New Roman" w:hAnsiTheme="minorHAnsi" w:cstheme="minorHAnsi"/>
          <w:sz w:val="22"/>
          <w:szCs w:val="22"/>
        </w:rPr>
      </w:pPr>
    </w:p>
    <w:p w14:paraId="20BE8BD4" w14:textId="3031E037" w:rsidR="00EB625E" w:rsidRPr="0060648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 xml:space="preserve">Litigation funding involves an often uninvolved third party providing the capital needed to support litigation in return for a share of any financial proceeds of the suit. </w:t>
      </w:r>
      <w:r w:rsidR="00A700E5">
        <w:rPr>
          <w:rFonts w:asciiTheme="minorHAnsi" w:eastAsia="Times New Roman" w:hAnsiTheme="minorHAnsi" w:cstheme="minorHAnsi"/>
          <w:sz w:val="22"/>
          <w:szCs w:val="22"/>
        </w:rPr>
        <w:t xml:space="preserve">Some </w:t>
      </w:r>
      <w:r w:rsidRPr="0060648C">
        <w:rPr>
          <w:rFonts w:asciiTheme="minorHAnsi" w:eastAsia="Times New Roman" w:hAnsiTheme="minorHAnsi" w:cstheme="minorHAnsi"/>
          <w:sz w:val="22"/>
          <w:szCs w:val="22"/>
        </w:rPr>
        <w:t xml:space="preserve">legal problems around litigation funding are caused by the medieval common law doctrines of champerty and maintenance. </w:t>
      </w:r>
      <w:r w:rsidRPr="00A700E5">
        <w:rPr>
          <w:rFonts w:asciiTheme="minorHAnsi" w:eastAsia="Times New Roman" w:hAnsiTheme="minorHAnsi" w:cstheme="minorHAnsi"/>
          <w:i/>
          <w:iCs/>
          <w:sz w:val="22"/>
          <w:szCs w:val="22"/>
        </w:rPr>
        <w:t xml:space="preserve">Maintenance </w:t>
      </w:r>
      <w:r w:rsidRPr="0060648C">
        <w:rPr>
          <w:rFonts w:asciiTheme="minorHAnsi" w:eastAsia="Times New Roman" w:hAnsiTheme="minorHAnsi" w:cstheme="minorHAnsi"/>
          <w:sz w:val="22"/>
          <w:szCs w:val="22"/>
        </w:rPr>
        <w:lastRenderedPageBreak/>
        <w:t xml:space="preserve">involves a party encouraging or assisting litigation without having a genuine interest in the proceedings. </w:t>
      </w:r>
      <w:r w:rsidRPr="00A700E5">
        <w:rPr>
          <w:rFonts w:asciiTheme="minorHAnsi" w:eastAsia="Times New Roman" w:hAnsiTheme="minorHAnsi" w:cstheme="minorHAnsi"/>
          <w:i/>
          <w:iCs/>
          <w:sz w:val="22"/>
          <w:szCs w:val="22"/>
        </w:rPr>
        <w:t xml:space="preserve">Champerty </w:t>
      </w:r>
      <w:r w:rsidRPr="0060648C">
        <w:rPr>
          <w:rFonts w:asciiTheme="minorHAnsi" w:eastAsia="Times New Roman" w:hAnsiTheme="minorHAnsi" w:cstheme="minorHAnsi"/>
          <w:sz w:val="22"/>
          <w:szCs w:val="22"/>
        </w:rPr>
        <w:t xml:space="preserve">is an aggravated form of maintenance whereby financial support is provided by a disinterested party on the proviso that that third party will share in the proceeds of the litigation. </w:t>
      </w:r>
    </w:p>
    <w:p w14:paraId="2D84D519" w14:textId="77777777" w:rsidR="00EB625E" w:rsidRPr="0060648C" w:rsidRDefault="00EB625E" w:rsidP="0060648C">
      <w:pPr>
        <w:spacing w:line="276" w:lineRule="auto"/>
        <w:contextualSpacing/>
        <w:jc w:val="both"/>
        <w:rPr>
          <w:rFonts w:asciiTheme="minorHAnsi" w:eastAsia="Times New Roman" w:hAnsiTheme="minorHAnsi" w:cstheme="minorHAnsi"/>
          <w:sz w:val="22"/>
          <w:szCs w:val="22"/>
        </w:rPr>
      </w:pPr>
    </w:p>
    <w:p w14:paraId="00000069" w14:textId="4907062D" w:rsidR="0001123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 xml:space="preserve">Historically, both champerty and maintenance constituted crimes and torts at common law in order to prevent fraudulent or vexatious claims from being spurred on by unscrupulous </w:t>
      </w:r>
      <w:proofErr w:type="spellStart"/>
      <w:r w:rsidRPr="0060648C">
        <w:rPr>
          <w:rFonts w:asciiTheme="minorHAnsi" w:eastAsia="Times New Roman" w:hAnsiTheme="minorHAnsi" w:cstheme="minorHAnsi"/>
          <w:sz w:val="22"/>
          <w:szCs w:val="22"/>
        </w:rPr>
        <w:t>intermeddlers</w:t>
      </w:r>
      <w:proofErr w:type="spellEnd"/>
      <w:r w:rsidRPr="0060648C">
        <w:rPr>
          <w:rFonts w:asciiTheme="minorHAnsi" w:eastAsia="Times New Roman" w:hAnsiTheme="minorHAnsi" w:cstheme="minorHAnsi"/>
          <w:sz w:val="22"/>
          <w:szCs w:val="22"/>
        </w:rPr>
        <w:t xml:space="preserve"> and clogging up the court system. Nowadays, champerty and maintenance are generally not unlawful </w:t>
      </w:r>
      <w:r w:rsidRPr="0060648C">
        <w:rPr>
          <w:rFonts w:asciiTheme="minorHAnsi" w:eastAsia="Times New Roman" w:hAnsiTheme="minorHAnsi" w:cstheme="minorHAnsi"/>
          <w:i/>
          <w:sz w:val="22"/>
          <w:szCs w:val="22"/>
        </w:rPr>
        <w:t>per se</w:t>
      </w:r>
      <w:r w:rsidRPr="0060648C">
        <w:rPr>
          <w:rFonts w:asciiTheme="minorHAnsi" w:eastAsia="Times New Roman" w:hAnsiTheme="minorHAnsi" w:cstheme="minorHAnsi"/>
          <w:sz w:val="22"/>
          <w:szCs w:val="22"/>
        </w:rPr>
        <w:t xml:space="preserve">, though agreements or assignments of rights to litigate which are deemed </w:t>
      </w:r>
      <w:proofErr w:type="spellStart"/>
      <w:r w:rsidRPr="0060648C">
        <w:rPr>
          <w:rFonts w:asciiTheme="minorHAnsi" w:eastAsia="Times New Roman" w:hAnsiTheme="minorHAnsi" w:cstheme="minorHAnsi"/>
          <w:sz w:val="22"/>
          <w:szCs w:val="22"/>
        </w:rPr>
        <w:t>champertous</w:t>
      </w:r>
      <w:proofErr w:type="spellEnd"/>
      <w:r w:rsidRPr="0060648C">
        <w:rPr>
          <w:rFonts w:asciiTheme="minorHAnsi" w:eastAsia="Times New Roman" w:hAnsiTheme="minorHAnsi" w:cstheme="minorHAnsi"/>
          <w:sz w:val="22"/>
          <w:szCs w:val="22"/>
        </w:rPr>
        <w:t xml:space="preserve"> can be void or affect costs decisions.</w:t>
      </w:r>
    </w:p>
    <w:p w14:paraId="5D1FC1A5" w14:textId="77777777" w:rsidR="0060648C" w:rsidRPr="0060648C" w:rsidRDefault="0060648C" w:rsidP="0060648C">
      <w:pPr>
        <w:spacing w:line="276" w:lineRule="auto"/>
        <w:contextualSpacing/>
        <w:jc w:val="both"/>
        <w:rPr>
          <w:rFonts w:asciiTheme="minorHAnsi" w:eastAsia="Times New Roman" w:hAnsiTheme="minorHAnsi" w:cstheme="minorHAnsi"/>
          <w:sz w:val="22"/>
          <w:szCs w:val="22"/>
        </w:rPr>
      </w:pPr>
    </w:p>
    <w:p w14:paraId="77D562EF" w14:textId="77777777" w:rsidR="00E847A2" w:rsidRDefault="00000000" w:rsidP="0060648C">
      <w:pPr>
        <w:spacing w:line="276" w:lineRule="auto"/>
        <w:contextualSpacing/>
        <w:jc w:val="both"/>
        <w:rPr>
          <w:rFonts w:asciiTheme="minorHAnsi" w:hAnsiTheme="minorHAnsi" w:cstheme="minorHAnsi"/>
          <w:sz w:val="22"/>
          <w:szCs w:val="22"/>
        </w:rPr>
      </w:pPr>
      <w:r w:rsidRPr="0060648C">
        <w:rPr>
          <w:rFonts w:asciiTheme="minorHAnsi" w:eastAsia="Times New Roman" w:hAnsiTheme="minorHAnsi" w:cstheme="minorHAnsi"/>
          <w:sz w:val="22"/>
          <w:szCs w:val="22"/>
        </w:rPr>
        <w:t>Litigation funding rules serve the purpose of reducing the risk of frivolous or untenable lawsuits</w:t>
      </w:r>
      <w:r w:rsidR="00EB625E" w:rsidRPr="0060648C">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 xml:space="preserve"> causing congestion within the justice system. However, this is in tension with the public policy goal of providing access to justice</w:t>
      </w:r>
      <w:r w:rsidR="00FA26E7">
        <w:rPr>
          <w:rFonts w:asciiTheme="minorHAnsi" w:eastAsia="Times New Roman" w:hAnsiTheme="minorHAnsi" w:cstheme="minorHAnsi"/>
          <w:sz w:val="22"/>
          <w:szCs w:val="22"/>
        </w:rPr>
        <w:t>. […]</w:t>
      </w:r>
      <w:r w:rsidRPr="0060648C">
        <w:rPr>
          <w:rFonts w:asciiTheme="minorHAnsi" w:eastAsia="Times New Roman" w:hAnsiTheme="minorHAnsi" w:cstheme="minorHAnsi"/>
          <w:sz w:val="22"/>
          <w:szCs w:val="22"/>
        </w:rPr>
        <w:t xml:space="preserve"> Litigation funding can allow individuals to pursue genuine claims where otherwise they might not have had the means to do so. One example given was the litigation that arose in the context of the UK </w:t>
      </w:r>
      <w:proofErr w:type="spellStart"/>
      <w:r w:rsidRPr="0060648C">
        <w:rPr>
          <w:rFonts w:asciiTheme="minorHAnsi" w:eastAsia="Times New Roman" w:hAnsiTheme="minorHAnsi" w:cstheme="minorHAnsi"/>
          <w:sz w:val="22"/>
          <w:szCs w:val="22"/>
        </w:rPr>
        <w:t>subpostmaster</w:t>
      </w:r>
      <w:proofErr w:type="spellEnd"/>
      <w:r w:rsidRPr="0060648C">
        <w:rPr>
          <w:rFonts w:asciiTheme="minorHAnsi" w:eastAsia="Times New Roman" w:hAnsiTheme="minorHAnsi" w:cstheme="minorHAnsi"/>
          <w:sz w:val="22"/>
          <w:szCs w:val="22"/>
        </w:rPr>
        <w:t xml:space="preserve"> scandal.</w:t>
      </w:r>
      <w:r w:rsidRPr="0060648C">
        <w:rPr>
          <w:rFonts w:asciiTheme="minorHAnsi" w:eastAsia="Times New Roman" w:hAnsiTheme="minorHAnsi" w:cstheme="minorHAnsi"/>
          <w:sz w:val="22"/>
          <w:szCs w:val="22"/>
          <w:vertAlign w:val="superscript"/>
        </w:rPr>
        <w:footnoteReference w:id="12"/>
      </w:r>
      <w:r w:rsidRPr="0060648C">
        <w:rPr>
          <w:rFonts w:asciiTheme="minorHAnsi" w:eastAsia="Times New Roman" w:hAnsiTheme="minorHAnsi" w:cstheme="minorHAnsi"/>
          <w:sz w:val="22"/>
          <w:szCs w:val="22"/>
        </w:rPr>
        <w:t xml:space="preserve"> Third-party funding in that case allowed 555 </w:t>
      </w:r>
      <w:proofErr w:type="spellStart"/>
      <w:r w:rsidRPr="0060648C">
        <w:rPr>
          <w:rFonts w:asciiTheme="minorHAnsi" w:eastAsia="Times New Roman" w:hAnsiTheme="minorHAnsi" w:cstheme="minorHAnsi"/>
          <w:sz w:val="22"/>
          <w:szCs w:val="22"/>
        </w:rPr>
        <w:t>subpostmasters</w:t>
      </w:r>
      <w:proofErr w:type="spellEnd"/>
      <w:r w:rsidRPr="0060648C">
        <w:rPr>
          <w:rFonts w:asciiTheme="minorHAnsi" w:eastAsia="Times New Roman" w:hAnsiTheme="minorHAnsi" w:cstheme="minorHAnsi"/>
          <w:sz w:val="22"/>
          <w:szCs w:val="22"/>
        </w:rPr>
        <w:t xml:space="preserve"> to bring a group action against Post Office Ltd; such a large-scale lawsuit would not have been possible for the claimants to fund themselves. In this way, litigation funding facilitated access to justice. </w:t>
      </w:r>
      <w:sdt>
        <w:sdtPr>
          <w:rPr>
            <w:rFonts w:asciiTheme="minorHAnsi" w:hAnsiTheme="minorHAnsi" w:cstheme="minorHAnsi"/>
            <w:sz w:val="22"/>
            <w:szCs w:val="22"/>
          </w:rPr>
          <w:tag w:val="goog_rdk_8"/>
          <w:id w:val="1417417692"/>
        </w:sdtPr>
        <w:sdtContent/>
      </w:sdt>
    </w:p>
    <w:p w14:paraId="75DF5DE0" w14:textId="77777777" w:rsidR="00E847A2" w:rsidRDefault="00E847A2" w:rsidP="0060648C">
      <w:pPr>
        <w:spacing w:line="276" w:lineRule="auto"/>
        <w:contextualSpacing/>
        <w:jc w:val="both"/>
        <w:rPr>
          <w:rFonts w:asciiTheme="minorHAnsi" w:hAnsiTheme="minorHAnsi" w:cstheme="minorHAnsi"/>
          <w:sz w:val="22"/>
          <w:szCs w:val="22"/>
        </w:rPr>
      </w:pPr>
    </w:p>
    <w:p w14:paraId="0000006A" w14:textId="50415825" w:rsidR="0001123C" w:rsidRPr="0060648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 xml:space="preserve">On the other hand, the majority of the settlement in </w:t>
      </w:r>
      <w:r w:rsidRPr="0060648C">
        <w:rPr>
          <w:rFonts w:asciiTheme="minorHAnsi" w:eastAsia="Times New Roman" w:hAnsiTheme="minorHAnsi" w:cstheme="minorHAnsi"/>
          <w:i/>
          <w:sz w:val="22"/>
          <w:szCs w:val="22"/>
        </w:rPr>
        <w:t>Bates</w:t>
      </w:r>
      <w:r w:rsidRPr="0060648C">
        <w:rPr>
          <w:rFonts w:asciiTheme="minorHAnsi" w:eastAsia="Times New Roman" w:hAnsiTheme="minorHAnsi" w:cstheme="minorHAnsi"/>
          <w:sz w:val="22"/>
          <w:szCs w:val="22"/>
        </w:rPr>
        <w:t xml:space="preserve"> (£46 million out of £57 million) was applied to the legal costs, with the small remainder being divided amongst the claimants. The speakers commented that, notwithstanding the increased access to justice provided by litigation funding, there is a problem where the actual wronged party is only receiving a meagre proportion of the award.</w:t>
      </w:r>
    </w:p>
    <w:p w14:paraId="0000006B" w14:textId="77777777" w:rsidR="0001123C" w:rsidRPr="0060648C" w:rsidRDefault="0001123C" w:rsidP="0060648C">
      <w:pPr>
        <w:spacing w:line="276" w:lineRule="auto"/>
        <w:contextualSpacing/>
        <w:jc w:val="both"/>
        <w:rPr>
          <w:rFonts w:asciiTheme="minorHAnsi" w:eastAsia="Times New Roman" w:hAnsiTheme="minorHAnsi" w:cstheme="minorHAnsi"/>
          <w:sz w:val="22"/>
          <w:szCs w:val="22"/>
        </w:rPr>
      </w:pPr>
    </w:p>
    <w:p w14:paraId="0000006C" w14:textId="5D03254E" w:rsidR="0001123C" w:rsidRPr="0060648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The speakers considered the litigation funding rules in three jurisdictions</w:t>
      </w:r>
      <w:r w:rsidR="005A5534">
        <w:rPr>
          <w:rFonts w:asciiTheme="minorHAnsi" w:eastAsia="Times New Roman" w:hAnsiTheme="minorHAnsi" w:cstheme="minorHAnsi"/>
          <w:sz w:val="22"/>
          <w:szCs w:val="22"/>
        </w:rPr>
        <w:t xml:space="preserve">, New York, England and Wales, and Ireland. </w:t>
      </w:r>
    </w:p>
    <w:p w14:paraId="0000006D" w14:textId="77777777" w:rsidR="0001123C" w:rsidRPr="0060648C" w:rsidRDefault="0001123C" w:rsidP="0060648C">
      <w:pPr>
        <w:spacing w:line="276" w:lineRule="auto"/>
        <w:contextualSpacing/>
        <w:jc w:val="both"/>
        <w:rPr>
          <w:rFonts w:asciiTheme="minorHAnsi" w:eastAsia="Times New Roman" w:hAnsiTheme="minorHAnsi" w:cstheme="minorHAnsi"/>
          <w:sz w:val="22"/>
          <w:szCs w:val="22"/>
        </w:rPr>
      </w:pPr>
    </w:p>
    <w:p w14:paraId="732FC1E4" w14:textId="5CBB1300" w:rsidR="0060648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w:t>
      </w:r>
      <w:proofErr w:type="spellStart"/>
      <w:r w:rsidRPr="0060648C">
        <w:rPr>
          <w:rFonts w:asciiTheme="minorHAnsi" w:eastAsia="Times New Roman" w:hAnsiTheme="minorHAnsi" w:cstheme="minorHAnsi"/>
          <w:sz w:val="22"/>
          <w:szCs w:val="22"/>
        </w:rPr>
        <w:t>i</w:t>
      </w:r>
      <w:proofErr w:type="spellEnd"/>
      <w:r w:rsidRPr="0060648C">
        <w:rPr>
          <w:rFonts w:asciiTheme="minorHAnsi" w:eastAsia="Times New Roman" w:hAnsiTheme="minorHAnsi" w:cstheme="minorHAnsi"/>
          <w:sz w:val="22"/>
          <w:szCs w:val="22"/>
        </w:rPr>
        <w:t xml:space="preserve">) </w:t>
      </w:r>
      <w:r w:rsidRPr="005A5534">
        <w:rPr>
          <w:rFonts w:asciiTheme="minorHAnsi" w:eastAsia="Times New Roman" w:hAnsiTheme="minorHAnsi" w:cstheme="minorHAnsi"/>
          <w:sz w:val="22"/>
          <w:szCs w:val="22"/>
          <w:u w:val="single"/>
        </w:rPr>
        <w:t>New York</w:t>
      </w:r>
      <w:r w:rsidR="0060648C">
        <w:rPr>
          <w:rFonts w:asciiTheme="minorHAnsi" w:eastAsia="Times New Roman" w:hAnsiTheme="minorHAnsi" w:cstheme="minorHAnsi"/>
          <w:sz w:val="22"/>
          <w:szCs w:val="22"/>
        </w:rPr>
        <w:t>:</w:t>
      </w:r>
    </w:p>
    <w:p w14:paraId="731E856F" w14:textId="77777777" w:rsidR="005A5534" w:rsidRPr="0060648C" w:rsidRDefault="005A5534" w:rsidP="0060648C">
      <w:pPr>
        <w:spacing w:line="276" w:lineRule="auto"/>
        <w:contextualSpacing/>
        <w:jc w:val="both"/>
        <w:rPr>
          <w:rFonts w:asciiTheme="minorHAnsi" w:eastAsia="Times New Roman" w:hAnsiTheme="minorHAnsi" w:cstheme="minorHAnsi"/>
          <w:sz w:val="22"/>
          <w:szCs w:val="22"/>
        </w:rPr>
      </w:pPr>
    </w:p>
    <w:p w14:paraId="0000006F" w14:textId="1487FCB8" w:rsidR="0001123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Here</w:t>
      </w:r>
      <w:r w:rsidR="005A5534">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 xml:space="preserve"> maintenance and champerty are prohibited by state law. Litigation funding, however, is generally permitted as it falls outside champerty law</w:t>
      </w:r>
      <w:r w:rsidR="005A5534">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 xml:space="preserve"> where its primary purpose is to advance a legitimate claim. New York is an important jurisdiction in this regard because of the magnitude of funding </w:t>
      </w:r>
      <w:r w:rsidR="005A5534">
        <w:rPr>
          <w:rFonts w:asciiTheme="minorHAnsi" w:eastAsia="Times New Roman" w:hAnsiTheme="minorHAnsi" w:cstheme="minorHAnsi"/>
          <w:sz w:val="22"/>
          <w:szCs w:val="22"/>
        </w:rPr>
        <w:t>that</w:t>
      </w:r>
      <w:r w:rsidRPr="0060648C">
        <w:rPr>
          <w:rFonts w:asciiTheme="minorHAnsi" w:eastAsia="Times New Roman" w:hAnsiTheme="minorHAnsi" w:cstheme="minorHAnsi"/>
          <w:sz w:val="22"/>
          <w:szCs w:val="22"/>
        </w:rPr>
        <w:t xml:space="preserve"> flows through the state. In 2023, US$16 billion was used in commercial funding. </w:t>
      </w:r>
      <w:r w:rsidR="00E847A2">
        <w:rPr>
          <w:rFonts w:asciiTheme="minorHAnsi" w:eastAsia="Times New Roman" w:hAnsiTheme="minorHAnsi" w:cstheme="minorHAnsi"/>
          <w:sz w:val="22"/>
          <w:szCs w:val="22"/>
        </w:rPr>
        <w:t>[…]</w:t>
      </w:r>
    </w:p>
    <w:p w14:paraId="21F51CEB" w14:textId="77777777" w:rsidR="0060648C" w:rsidRPr="0060648C" w:rsidRDefault="0060648C" w:rsidP="0060648C">
      <w:pPr>
        <w:spacing w:line="276" w:lineRule="auto"/>
        <w:contextualSpacing/>
        <w:jc w:val="both"/>
        <w:rPr>
          <w:rFonts w:asciiTheme="minorHAnsi" w:eastAsia="Times New Roman" w:hAnsiTheme="minorHAnsi" w:cstheme="minorHAnsi"/>
          <w:sz w:val="22"/>
          <w:szCs w:val="22"/>
        </w:rPr>
      </w:pPr>
    </w:p>
    <w:p w14:paraId="00000070" w14:textId="1481F9F0" w:rsidR="0001123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 xml:space="preserve">Litigation funding has received judicial support in the New York state courts. The court in the </w:t>
      </w:r>
      <w:r w:rsidRPr="0060648C">
        <w:rPr>
          <w:rFonts w:asciiTheme="minorHAnsi" w:eastAsia="Times New Roman" w:hAnsiTheme="minorHAnsi" w:cstheme="minorHAnsi"/>
          <w:i/>
          <w:sz w:val="22"/>
          <w:szCs w:val="22"/>
        </w:rPr>
        <w:t>Hamilton Capital</w:t>
      </w:r>
      <w:r w:rsidRPr="0060648C">
        <w:rPr>
          <w:rFonts w:asciiTheme="minorHAnsi" w:eastAsia="Times New Roman" w:hAnsiTheme="minorHAnsi" w:cstheme="minorHAnsi"/>
          <w:sz w:val="22"/>
          <w:szCs w:val="22"/>
        </w:rPr>
        <w:t xml:space="preserve"> case highlighted its public policy benefits, including access to justice.</w:t>
      </w:r>
      <w:r w:rsidRPr="0060648C">
        <w:rPr>
          <w:rFonts w:asciiTheme="minorHAnsi" w:eastAsia="Times New Roman" w:hAnsiTheme="minorHAnsi" w:cstheme="minorHAnsi"/>
          <w:sz w:val="22"/>
          <w:szCs w:val="22"/>
          <w:vertAlign w:val="superscript"/>
        </w:rPr>
        <w:footnoteReference w:id="13"/>
      </w:r>
      <w:r w:rsidRPr="0060648C">
        <w:rPr>
          <w:rFonts w:asciiTheme="minorHAnsi" w:eastAsia="Times New Roman" w:hAnsiTheme="minorHAnsi" w:cstheme="minorHAnsi"/>
          <w:sz w:val="22"/>
          <w:szCs w:val="22"/>
        </w:rPr>
        <w:t xml:space="preserve"> The state senate has approved a consumer protection law for users of litigation funding. A wide variety of cases in New York make use of litigation funding, including contract, tort, intellectual property, and class actions generally. Detailed trends in the types of cases </w:t>
      </w:r>
      <w:r w:rsidR="005A5534">
        <w:rPr>
          <w:rFonts w:asciiTheme="minorHAnsi" w:eastAsia="Times New Roman" w:hAnsiTheme="minorHAnsi" w:cstheme="minorHAnsi"/>
          <w:sz w:val="22"/>
          <w:szCs w:val="22"/>
        </w:rPr>
        <w:t>that</w:t>
      </w:r>
      <w:r w:rsidRPr="0060648C">
        <w:rPr>
          <w:rFonts w:asciiTheme="minorHAnsi" w:eastAsia="Times New Roman" w:hAnsiTheme="minorHAnsi" w:cstheme="minorHAnsi"/>
          <w:sz w:val="22"/>
          <w:szCs w:val="22"/>
        </w:rPr>
        <w:t xml:space="preserve"> receive funding are rare, however, because of a lack of rules on disclosure of funding.</w:t>
      </w:r>
    </w:p>
    <w:p w14:paraId="1EFCABA4" w14:textId="77777777" w:rsidR="0060648C" w:rsidRPr="0060648C" w:rsidRDefault="0060648C" w:rsidP="0060648C">
      <w:pPr>
        <w:spacing w:line="276" w:lineRule="auto"/>
        <w:contextualSpacing/>
        <w:jc w:val="both"/>
        <w:rPr>
          <w:rFonts w:asciiTheme="minorHAnsi" w:eastAsia="Times New Roman" w:hAnsiTheme="minorHAnsi" w:cstheme="minorHAnsi"/>
          <w:sz w:val="22"/>
          <w:szCs w:val="22"/>
        </w:rPr>
      </w:pPr>
    </w:p>
    <w:p w14:paraId="0981BDE4" w14:textId="592293B5" w:rsidR="0060648C" w:rsidRDefault="00000000" w:rsidP="005A5534">
      <w:pPr>
        <w:pStyle w:val="Heading2"/>
        <w:keepNext w:val="0"/>
        <w:keepLines w:val="0"/>
        <w:spacing w:before="0" w:after="0" w:line="276" w:lineRule="auto"/>
        <w:contextualSpacing/>
        <w:jc w:val="both"/>
        <w:rPr>
          <w:rFonts w:asciiTheme="minorHAnsi" w:eastAsia="Times New Roman" w:hAnsiTheme="minorHAnsi" w:cstheme="minorHAnsi"/>
          <w:b w:val="0"/>
          <w:sz w:val="22"/>
          <w:szCs w:val="22"/>
        </w:rPr>
      </w:pPr>
      <w:bookmarkStart w:id="0" w:name="_heading=h.j0464cx3fvvi" w:colFirst="0" w:colLast="0"/>
      <w:bookmarkEnd w:id="0"/>
      <w:r w:rsidRPr="0060648C">
        <w:rPr>
          <w:rFonts w:asciiTheme="minorHAnsi" w:eastAsia="Times New Roman" w:hAnsiTheme="minorHAnsi" w:cstheme="minorHAnsi"/>
          <w:b w:val="0"/>
          <w:sz w:val="22"/>
          <w:szCs w:val="22"/>
        </w:rPr>
        <w:t xml:space="preserve">(ii) </w:t>
      </w:r>
      <w:r w:rsidRPr="005A5534">
        <w:rPr>
          <w:rFonts w:asciiTheme="minorHAnsi" w:eastAsia="Times New Roman" w:hAnsiTheme="minorHAnsi" w:cstheme="minorHAnsi"/>
          <w:b w:val="0"/>
          <w:sz w:val="22"/>
          <w:szCs w:val="22"/>
          <w:u w:val="single"/>
        </w:rPr>
        <w:t>England and Wales</w:t>
      </w:r>
      <w:r w:rsidR="0060648C">
        <w:rPr>
          <w:rFonts w:asciiTheme="minorHAnsi" w:eastAsia="Times New Roman" w:hAnsiTheme="minorHAnsi" w:cstheme="minorHAnsi"/>
          <w:b w:val="0"/>
          <w:sz w:val="22"/>
          <w:szCs w:val="22"/>
        </w:rPr>
        <w:t>:</w:t>
      </w:r>
    </w:p>
    <w:p w14:paraId="4B01E94A" w14:textId="77777777" w:rsidR="005A5534" w:rsidRPr="005A5534" w:rsidRDefault="005A5534" w:rsidP="005A5534">
      <w:pPr>
        <w:contextualSpacing/>
      </w:pPr>
    </w:p>
    <w:p w14:paraId="00000072" w14:textId="366583AF" w:rsidR="0001123C" w:rsidRDefault="00000000" w:rsidP="005A5534">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 xml:space="preserve">In England and Wales, champerty and maintenance were abolished as crimes and torts in the </w:t>
      </w:r>
      <w:r w:rsidRPr="00E847A2">
        <w:rPr>
          <w:rFonts w:asciiTheme="minorHAnsi" w:eastAsia="Times New Roman" w:hAnsiTheme="minorHAnsi" w:cstheme="minorHAnsi"/>
          <w:i/>
          <w:iCs/>
          <w:sz w:val="22"/>
          <w:szCs w:val="22"/>
        </w:rPr>
        <w:t>Criminal Law Act 1967</w:t>
      </w:r>
      <w:r w:rsidRPr="0060648C">
        <w:rPr>
          <w:rFonts w:asciiTheme="minorHAnsi" w:eastAsia="Times New Roman" w:hAnsiTheme="minorHAnsi" w:cstheme="minorHAnsi"/>
          <w:sz w:val="22"/>
          <w:szCs w:val="22"/>
        </w:rPr>
        <w:t xml:space="preserve">. However, certain funding agreements will be void. The Court of Appeal in </w:t>
      </w:r>
      <w:r w:rsidRPr="0060648C">
        <w:rPr>
          <w:rFonts w:asciiTheme="minorHAnsi" w:eastAsia="Times New Roman" w:hAnsiTheme="minorHAnsi" w:cstheme="minorHAnsi"/>
          <w:i/>
          <w:sz w:val="22"/>
          <w:szCs w:val="22"/>
        </w:rPr>
        <w:t>Factortame VIII</w:t>
      </w:r>
      <w:r w:rsidRPr="0060648C">
        <w:rPr>
          <w:rFonts w:asciiTheme="minorHAnsi" w:eastAsia="Times New Roman" w:hAnsiTheme="minorHAnsi" w:cstheme="minorHAnsi"/>
          <w:sz w:val="22"/>
          <w:szCs w:val="22"/>
        </w:rPr>
        <w:t xml:space="preserve"> found that only agreements which ‘undermine the ends of justice’ should be prohibited.</w:t>
      </w:r>
      <w:r w:rsidRPr="0060648C">
        <w:rPr>
          <w:rFonts w:asciiTheme="minorHAnsi" w:eastAsia="Times New Roman" w:hAnsiTheme="minorHAnsi" w:cstheme="minorHAnsi"/>
          <w:sz w:val="22"/>
          <w:szCs w:val="22"/>
          <w:vertAlign w:val="superscript"/>
        </w:rPr>
        <w:footnoteReference w:id="14"/>
      </w:r>
      <w:r w:rsidRPr="0060648C">
        <w:rPr>
          <w:rFonts w:asciiTheme="minorHAnsi" w:eastAsia="Times New Roman" w:hAnsiTheme="minorHAnsi" w:cstheme="minorHAnsi"/>
          <w:sz w:val="22"/>
          <w:szCs w:val="22"/>
        </w:rPr>
        <w:t xml:space="preserve"> Generally, the regime is self-regulatory</w:t>
      </w:r>
      <w:r w:rsidR="00E847A2">
        <w:rPr>
          <w:rFonts w:asciiTheme="minorHAnsi" w:eastAsia="Times New Roman" w:hAnsiTheme="minorHAnsi" w:cstheme="minorHAnsi"/>
          <w:sz w:val="22"/>
          <w:szCs w:val="22"/>
        </w:rPr>
        <w:t xml:space="preserve">, with </w:t>
      </w:r>
      <w:r w:rsidRPr="0060648C">
        <w:rPr>
          <w:rFonts w:asciiTheme="minorHAnsi" w:eastAsia="Times New Roman" w:hAnsiTheme="minorHAnsi" w:cstheme="minorHAnsi"/>
          <w:sz w:val="22"/>
          <w:szCs w:val="22"/>
        </w:rPr>
        <w:t>a Code of Conduct promulgated by the funding industry itself.</w:t>
      </w:r>
      <w:r w:rsidR="00E847A2">
        <w:rPr>
          <w:rFonts w:asciiTheme="minorHAnsi" w:eastAsia="Times New Roman" w:hAnsiTheme="minorHAnsi" w:cstheme="minorHAnsi"/>
          <w:sz w:val="22"/>
          <w:szCs w:val="22"/>
        </w:rPr>
        <w:t xml:space="preserve"> […]</w:t>
      </w:r>
    </w:p>
    <w:p w14:paraId="740435E9" w14:textId="77777777" w:rsidR="0060648C" w:rsidRPr="0060648C" w:rsidRDefault="0060648C" w:rsidP="0060648C">
      <w:pPr>
        <w:spacing w:line="276" w:lineRule="auto"/>
        <w:contextualSpacing/>
        <w:jc w:val="both"/>
        <w:rPr>
          <w:rFonts w:asciiTheme="minorHAnsi" w:eastAsia="Times New Roman" w:hAnsiTheme="minorHAnsi" w:cstheme="minorHAnsi"/>
          <w:sz w:val="22"/>
          <w:szCs w:val="22"/>
        </w:rPr>
      </w:pPr>
    </w:p>
    <w:p w14:paraId="00000073" w14:textId="460E00FD" w:rsidR="0001123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In 2005, the Court of Appeal held that third-party funders should only be liable for a counterparty’s costs to the extent of their own contribution to the litigation.</w:t>
      </w:r>
      <w:r w:rsidRPr="0060648C">
        <w:rPr>
          <w:rFonts w:asciiTheme="minorHAnsi" w:eastAsia="Times New Roman" w:hAnsiTheme="minorHAnsi" w:cstheme="minorHAnsi"/>
          <w:sz w:val="22"/>
          <w:szCs w:val="22"/>
          <w:vertAlign w:val="superscript"/>
        </w:rPr>
        <w:footnoteReference w:id="15"/>
      </w:r>
      <w:r w:rsidRPr="0060648C">
        <w:rPr>
          <w:rFonts w:asciiTheme="minorHAnsi" w:eastAsia="Times New Roman" w:hAnsiTheme="minorHAnsi" w:cstheme="minorHAnsi"/>
          <w:sz w:val="22"/>
          <w:szCs w:val="22"/>
        </w:rPr>
        <w:t xml:space="preserve"> This is known as the </w:t>
      </w:r>
      <w:r w:rsidR="00E847A2" w:rsidRPr="00E847A2">
        <w:rPr>
          <w:rFonts w:asciiTheme="minorHAnsi" w:eastAsia="Times New Roman" w:hAnsiTheme="minorHAnsi" w:cstheme="minorHAnsi"/>
          <w:sz w:val="22"/>
          <w:szCs w:val="22"/>
        </w:rPr>
        <w:t>‘</w:t>
      </w:r>
      <w:r w:rsidRPr="0060648C">
        <w:rPr>
          <w:rFonts w:asciiTheme="minorHAnsi" w:eastAsia="Times New Roman" w:hAnsiTheme="minorHAnsi" w:cstheme="minorHAnsi"/>
          <w:i/>
          <w:sz w:val="22"/>
          <w:szCs w:val="22"/>
        </w:rPr>
        <w:t xml:space="preserve">Arkin </w:t>
      </w:r>
      <w:r w:rsidRPr="0060648C">
        <w:rPr>
          <w:rFonts w:asciiTheme="minorHAnsi" w:eastAsia="Times New Roman" w:hAnsiTheme="minorHAnsi" w:cstheme="minorHAnsi"/>
          <w:sz w:val="22"/>
          <w:szCs w:val="22"/>
        </w:rPr>
        <w:t>cap</w:t>
      </w:r>
      <w:r w:rsidR="00E847A2">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 xml:space="preserve"> and has been criticised as providing a safe harbour for bad-faith funding. In 2020, the Court of Appeal ruled that the </w:t>
      </w:r>
      <w:r w:rsidRPr="0060648C">
        <w:rPr>
          <w:rFonts w:asciiTheme="minorHAnsi" w:eastAsia="Times New Roman" w:hAnsiTheme="minorHAnsi" w:cstheme="minorHAnsi"/>
          <w:i/>
          <w:sz w:val="22"/>
          <w:szCs w:val="22"/>
        </w:rPr>
        <w:t>Arkin</w:t>
      </w:r>
      <w:r w:rsidRPr="0060648C">
        <w:rPr>
          <w:rFonts w:asciiTheme="minorHAnsi" w:eastAsia="Times New Roman" w:hAnsiTheme="minorHAnsi" w:cstheme="minorHAnsi"/>
          <w:sz w:val="22"/>
          <w:szCs w:val="22"/>
        </w:rPr>
        <w:t xml:space="preserve"> cap was not a binding rule but amounted to one factor in a court’s discretion on third</w:t>
      </w:r>
      <w:r w:rsidR="00E847A2">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party costs orders.</w:t>
      </w:r>
      <w:r w:rsidRPr="0060648C">
        <w:rPr>
          <w:rFonts w:asciiTheme="minorHAnsi" w:eastAsia="Times New Roman" w:hAnsiTheme="minorHAnsi" w:cstheme="minorHAnsi"/>
          <w:sz w:val="22"/>
          <w:szCs w:val="22"/>
          <w:vertAlign w:val="superscript"/>
        </w:rPr>
        <w:footnoteReference w:id="16"/>
      </w:r>
      <w:r w:rsidRPr="0060648C">
        <w:rPr>
          <w:rFonts w:asciiTheme="minorHAnsi" w:eastAsia="Times New Roman" w:hAnsiTheme="minorHAnsi" w:cstheme="minorHAnsi"/>
          <w:sz w:val="22"/>
          <w:szCs w:val="22"/>
        </w:rPr>
        <w:t xml:space="preserve"> </w:t>
      </w:r>
      <w:r w:rsidR="009A5D14">
        <w:rPr>
          <w:rFonts w:asciiTheme="minorHAnsi" w:eastAsia="Times New Roman" w:hAnsiTheme="minorHAnsi" w:cstheme="minorHAnsi"/>
          <w:sz w:val="22"/>
          <w:szCs w:val="22"/>
        </w:rPr>
        <w:t xml:space="preserve">The </w:t>
      </w:r>
      <w:r w:rsidRPr="0060648C">
        <w:rPr>
          <w:rFonts w:asciiTheme="minorHAnsi" w:eastAsia="Times New Roman" w:hAnsiTheme="minorHAnsi" w:cstheme="minorHAnsi"/>
          <w:sz w:val="22"/>
          <w:szCs w:val="22"/>
        </w:rPr>
        <w:t xml:space="preserve">removal of the </w:t>
      </w:r>
      <w:r w:rsidRPr="0060648C">
        <w:rPr>
          <w:rFonts w:asciiTheme="minorHAnsi" w:eastAsia="Times New Roman" w:hAnsiTheme="minorHAnsi" w:cstheme="minorHAnsi"/>
          <w:i/>
          <w:sz w:val="22"/>
          <w:szCs w:val="22"/>
        </w:rPr>
        <w:t xml:space="preserve">Arkin </w:t>
      </w:r>
      <w:r w:rsidRPr="0060648C">
        <w:rPr>
          <w:rFonts w:asciiTheme="minorHAnsi" w:eastAsia="Times New Roman" w:hAnsiTheme="minorHAnsi" w:cstheme="minorHAnsi"/>
          <w:sz w:val="22"/>
          <w:szCs w:val="22"/>
        </w:rPr>
        <w:t xml:space="preserve">cap did not make litigation funding less attractive for financial institutions, but it did alter how funders think about their level of control over the process. Funders may seek more oversight of the litigation itself in the absence of guardrails such as the </w:t>
      </w:r>
      <w:r w:rsidRPr="0060648C">
        <w:rPr>
          <w:rFonts w:asciiTheme="minorHAnsi" w:eastAsia="Times New Roman" w:hAnsiTheme="minorHAnsi" w:cstheme="minorHAnsi"/>
          <w:i/>
          <w:sz w:val="22"/>
          <w:szCs w:val="22"/>
        </w:rPr>
        <w:t xml:space="preserve">Arkin </w:t>
      </w:r>
      <w:r w:rsidRPr="0060648C">
        <w:rPr>
          <w:rFonts w:asciiTheme="minorHAnsi" w:eastAsia="Times New Roman" w:hAnsiTheme="minorHAnsi" w:cstheme="minorHAnsi"/>
          <w:sz w:val="22"/>
          <w:szCs w:val="22"/>
        </w:rPr>
        <w:t>cap.</w:t>
      </w:r>
    </w:p>
    <w:p w14:paraId="7415923B" w14:textId="77777777" w:rsidR="0060648C" w:rsidRPr="0060648C" w:rsidRDefault="0060648C" w:rsidP="0060648C">
      <w:pPr>
        <w:spacing w:line="276" w:lineRule="auto"/>
        <w:contextualSpacing/>
        <w:jc w:val="both"/>
        <w:rPr>
          <w:rFonts w:asciiTheme="minorHAnsi" w:eastAsia="Times New Roman" w:hAnsiTheme="minorHAnsi" w:cstheme="minorHAnsi"/>
          <w:sz w:val="22"/>
          <w:szCs w:val="22"/>
        </w:rPr>
      </w:pPr>
    </w:p>
    <w:p w14:paraId="70DC2BD9" w14:textId="77777777" w:rsidR="009A5D14"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 xml:space="preserve">In 2023, the UK Supreme Court in </w:t>
      </w:r>
      <w:r w:rsidRPr="0060648C">
        <w:rPr>
          <w:rFonts w:asciiTheme="minorHAnsi" w:eastAsia="Times New Roman" w:hAnsiTheme="minorHAnsi" w:cstheme="minorHAnsi"/>
          <w:i/>
          <w:sz w:val="22"/>
          <w:szCs w:val="22"/>
        </w:rPr>
        <w:t>PACCAR</w:t>
      </w:r>
      <w:r w:rsidRPr="0060648C">
        <w:rPr>
          <w:rFonts w:asciiTheme="minorHAnsi" w:eastAsia="Times New Roman" w:hAnsiTheme="minorHAnsi" w:cstheme="minorHAnsi"/>
          <w:sz w:val="22"/>
          <w:szCs w:val="22"/>
        </w:rPr>
        <w:t xml:space="preserve"> ruled that litigation funding agreements based on contingency arrangements amounted to ‘damages-based agreements’ (DBAs).</w:t>
      </w:r>
      <w:r w:rsidRPr="0060648C">
        <w:rPr>
          <w:rFonts w:asciiTheme="minorHAnsi" w:eastAsia="Times New Roman" w:hAnsiTheme="minorHAnsi" w:cstheme="minorHAnsi"/>
          <w:sz w:val="22"/>
          <w:szCs w:val="22"/>
          <w:vertAlign w:val="superscript"/>
        </w:rPr>
        <w:footnoteReference w:id="17"/>
      </w:r>
      <w:r w:rsidRPr="0060648C">
        <w:rPr>
          <w:rFonts w:asciiTheme="minorHAnsi" w:eastAsia="Times New Roman" w:hAnsiTheme="minorHAnsi" w:cstheme="minorHAnsi"/>
          <w:sz w:val="22"/>
          <w:szCs w:val="22"/>
        </w:rPr>
        <w:t xml:space="preserve"> DBAs are unenforceable unless they comply with stringent statutory requirements. It had previously been widely considered that such contingency arrangements were not DBAs. As a result, most of these contingency arrangements were not compliant with the legal requirements and therefore were unenforceable. This raised major questions about the recovery of damages from now-unenforceable funding agreements.</w:t>
      </w:r>
      <w:r w:rsidR="009A5D14">
        <w:rPr>
          <w:rFonts w:asciiTheme="minorHAnsi" w:eastAsia="Times New Roman" w:hAnsiTheme="minorHAnsi" w:cstheme="minorHAnsi"/>
          <w:sz w:val="22"/>
          <w:szCs w:val="22"/>
        </w:rPr>
        <w:t xml:space="preserve"> </w:t>
      </w:r>
      <w:r w:rsidRPr="0060648C">
        <w:rPr>
          <w:rFonts w:asciiTheme="minorHAnsi" w:eastAsia="Times New Roman" w:hAnsiTheme="minorHAnsi" w:cstheme="minorHAnsi"/>
          <w:sz w:val="22"/>
          <w:szCs w:val="22"/>
        </w:rPr>
        <w:t xml:space="preserve">In response, the UK government proposed legislation with retrospective effect in order to reverse the effect of </w:t>
      </w:r>
      <w:r w:rsidRPr="0060648C">
        <w:rPr>
          <w:rFonts w:asciiTheme="minorHAnsi" w:eastAsia="Times New Roman" w:hAnsiTheme="minorHAnsi" w:cstheme="minorHAnsi"/>
          <w:i/>
          <w:sz w:val="22"/>
          <w:szCs w:val="22"/>
        </w:rPr>
        <w:t>PACCAR</w:t>
      </w:r>
      <w:r w:rsidRPr="0060648C">
        <w:rPr>
          <w:rFonts w:asciiTheme="minorHAnsi" w:eastAsia="Times New Roman" w:hAnsiTheme="minorHAnsi" w:cstheme="minorHAnsi"/>
          <w:sz w:val="22"/>
          <w:szCs w:val="22"/>
        </w:rPr>
        <w:t>, though this fell due to the general election in</w:t>
      </w:r>
      <w:r w:rsidR="009A5D14">
        <w:rPr>
          <w:rFonts w:asciiTheme="minorHAnsi" w:eastAsia="Times New Roman" w:hAnsiTheme="minorHAnsi" w:cstheme="minorHAnsi"/>
          <w:sz w:val="22"/>
          <w:szCs w:val="22"/>
        </w:rPr>
        <w:t xml:space="preserve"> </w:t>
      </w:r>
      <w:r w:rsidRPr="0060648C">
        <w:rPr>
          <w:rFonts w:asciiTheme="minorHAnsi" w:eastAsia="Times New Roman" w:hAnsiTheme="minorHAnsi" w:cstheme="minorHAnsi"/>
          <w:sz w:val="22"/>
          <w:szCs w:val="22"/>
        </w:rPr>
        <w:t xml:space="preserve">2024. New initiatives had been postponed by the government </w:t>
      </w:r>
      <w:sdt>
        <w:sdtPr>
          <w:rPr>
            <w:rFonts w:asciiTheme="minorHAnsi" w:hAnsiTheme="minorHAnsi" w:cstheme="minorHAnsi"/>
            <w:sz w:val="22"/>
            <w:szCs w:val="22"/>
          </w:rPr>
          <w:tag w:val="goog_rdk_9"/>
          <w:id w:val="-1656062029"/>
        </w:sdtPr>
        <w:sdtContent/>
      </w:sdt>
      <w:r w:rsidRPr="0060648C">
        <w:rPr>
          <w:rFonts w:asciiTheme="minorHAnsi" w:eastAsia="Times New Roman" w:hAnsiTheme="minorHAnsi" w:cstheme="minorHAnsi"/>
          <w:sz w:val="22"/>
          <w:szCs w:val="22"/>
        </w:rPr>
        <w:t>pending the Civil Justice Council’s</w:t>
      </w:r>
      <w:r w:rsidR="009A5D14">
        <w:rPr>
          <w:rFonts w:asciiTheme="minorHAnsi" w:eastAsia="Times New Roman" w:hAnsiTheme="minorHAnsi" w:cstheme="minorHAnsi"/>
          <w:sz w:val="22"/>
          <w:szCs w:val="22"/>
        </w:rPr>
        <w:t xml:space="preserve"> (CJC)</w:t>
      </w:r>
      <w:r w:rsidRPr="0060648C">
        <w:rPr>
          <w:rFonts w:asciiTheme="minorHAnsi" w:eastAsia="Times New Roman" w:hAnsiTheme="minorHAnsi" w:cstheme="minorHAnsi"/>
          <w:sz w:val="22"/>
          <w:szCs w:val="22"/>
        </w:rPr>
        <w:t xml:space="preserve"> report in its review into litigation funding</w:t>
      </w:r>
      <w:r w:rsidR="009A5D14">
        <w:rPr>
          <w:rFonts w:asciiTheme="minorHAnsi" w:eastAsia="Times New Roman" w:hAnsiTheme="minorHAnsi" w:cstheme="minorHAnsi"/>
          <w:sz w:val="22"/>
          <w:szCs w:val="22"/>
        </w:rPr>
        <w:t xml:space="preserve">. </w:t>
      </w:r>
    </w:p>
    <w:p w14:paraId="77BED85C" w14:textId="77777777" w:rsidR="009A5D14" w:rsidRDefault="009A5D14" w:rsidP="0060648C">
      <w:pPr>
        <w:spacing w:line="276" w:lineRule="auto"/>
        <w:contextualSpacing/>
        <w:jc w:val="both"/>
        <w:rPr>
          <w:rFonts w:asciiTheme="minorHAnsi" w:eastAsia="Times New Roman" w:hAnsiTheme="minorHAnsi" w:cstheme="minorHAnsi"/>
          <w:sz w:val="22"/>
          <w:szCs w:val="22"/>
        </w:rPr>
      </w:pPr>
    </w:p>
    <w:p w14:paraId="743984BD" w14:textId="4DFBFCB0" w:rsidR="009A5D14"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 xml:space="preserve">The CJC recommended immediate, retrospective legislation to reverse </w:t>
      </w:r>
      <w:r w:rsidRPr="0060648C">
        <w:rPr>
          <w:rFonts w:asciiTheme="minorHAnsi" w:eastAsia="Times New Roman" w:hAnsiTheme="minorHAnsi" w:cstheme="minorHAnsi"/>
          <w:i/>
          <w:sz w:val="22"/>
          <w:szCs w:val="22"/>
        </w:rPr>
        <w:t>PACCAR</w:t>
      </w:r>
      <w:r w:rsidRPr="0060648C">
        <w:rPr>
          <w:rFonts w:asciiTheme="minorHAnsi" w:eastAsia="Times New Roman" w:hAnsiTheme="minorHAnsi" w:cstheme="minorHAnsi"/>
          <w:sz w:val="22"/>
          <w:szCs w:val="22"/>
        </w:rPr>
        <w:t xml:space="preserve"> followed by subsequent</w:t>
      </w:r>
      <w:r w:rsidR="009A5D14">
        <w:rPr>
          <w:rFonts w:asciiTheme="minorHAnsi" w:eastAsia="Times New Roman" w:hAnsiTheme="minorHAnsi" w:cstheme="minorHAnsi"/>
          <w:sz w:val="22"/>
          <w:szCs w:val="22"/>
        </w:rPr>
        <w:t xml:space="preserve"> initiatives </w:t>
      </w:r>
      <w:r w:rsidRPr="0060648C">
        <w:rPr>
          <w:rFonts w:asciiTheme="minorHAnsi" w:eastAsia="Times New Roman" w:hAnsiTheme="minorHAnsi" w:cstheme="minorHAnsi"/>
          <w:sz w:val="22"/>
          <w:szCs w:val="22"/>
        </w:rPr>
        <w:t>to regulate litigation funding agreements, including</w:t>
      </w:r>
      <w:r w:rsidR="009A5D14">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rPr>
        <w:t xml:space="preserve"> </w:t>
      </w:r>
    </w:p>
    <w:p w14:paraId="4DC01798" w14:textId="77777777" w:rsidR="009A5D14" w:rsidRDefault="009A5D14" w:rsidP="0060648C">
      <w:pPr>
        <w:spacing w:line="276" w:lineRule="auto"/>
        <w:contextualSpacing/>
        <w:jc w:val="both"/>
        <w:rPr>
          <w:rFonts w:asciiTheme="minorHAnsi" w:eastAsia="Times New Roman" w:hAnsiTheme="minorHAnsi" w:cstheme="minorHAnsi"/>
          <w:sz w:val="22"/>
          <w:szCs w:val="22"/>
        </w:rPr>
      </w:pPr>
    </w:p>
    <w:p w14:paraId="2723A022" w14:textId="421D6D6F" w:rsidR="009A5D14" w:rsidRDefault="009A5D14" w:rsidP="0060648C">
      <w:pPr>
        <w:spacing w:line="276" w:lineRule="auto"/>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-C</w:t>
      </w:r>
      <w:r w:rsidRPr="0060648C">
        <w:rPr>
          <w:rFonts w:asciiTheme="minorHAnsi" w:eastAsia="Times New Roman" w:hAnsiTheme="minorHAnsi" w:cstheme="minorHAnsi"/>
          <w:sz w:val="22"/>
          <w:szCs w:val="22"/>
        </w:rPr>
        <w:t xml:space="preserve">ase-specific capital adequacy requirements; </w:t>
      </w:r>
    </w:p>
    <w:p w14:paraId="40C127B4" w14:textId="484C5A62" w:rsidR="009A5D14" w:rsidRDefault="009A5D14" w:rsidP="0060648C">
      <w:pPr>
        <w:spacing w:line="276" w:lineRule="auto"/>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-C</w:t>
      </w:r>
      <w:r w:rsidRPr="0060648C">
        <w:rPr>
          <w:rFonts w:asciiTheme="minorHAnsi" w:eastAsia="Times New Roman" w:hAnsiTheme="minorHAnsi" w:cstheme="minorHAnsi"/>
          <w:sz w:val="22"/>
          <w:szCs w:val="22"/>
        </w:rPr>
        <w:t xml:space="preserve">odification of the requirement that litigation funders should not control funded litigation; </w:t>
      </w:r>
    </w:p>
    <w:p w14:paraId="78F4A7EA" w14:textId="50B1488D" w:rsidR="009A5D14" w:rsidRDefault="009A5D14" w:rsidP="0060648C">
      <w:pPr>
        <w:spacing w:line="276" w:lineRule="auto"/>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-C</w:t>
      </w:r>
      <w:r w:rsidRPr="0060648C">
        <w:rPr>
          <w:rFonts w:asciiTheme="minorHAnsi" w:eastAsia="Times New Roman" w:hAnsiTheme="minorHAnsi" w:cstheme="minorHAnsi"/>
          <w:sz w:val="22"/>
          <w:szCs w:val="22"/>
        </w:rPr>
        <w:t xml:space="preserve">onflict of interest provisions; </w:t>
      </w:r>
    </w:p>
    <w:p w14:paraId="3495A555" w14:textId="77777777" w:rsidR="009A5D14" w:rsidRDefault="009A5D14" w:rsidP="0060648C">
      <w:pPr>
        <w:spacing w:line="276" w:lineRule="auto"/>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w:t>
      </w:r>
      <w:r w:rsidRPr="0060648C">
        <w:rPr>
          <w:rFonts w:asciiTheme="minorHAnsi" w:eastAsia="Times New Roman" w:hAnsiTheme="minorHAnsi" w:cstheme="minorHAnsi"/>
          <w:sz w:val="22"/>
          <w:szCs w:val="22"/>
        </w:rPr>
        <w:t>nti-money laundering requirements;</w:t>
      </w:r>
    </w:p>
    <w:p w14:paraId="63DD16EC" w14:textId="77777777" w:rsidR="00B474E3" w:rsidRDefault="009A5D14" w:rsidP="0060648C">
      <w:pPr>
        <w:spacing w:line="276" w:lineRule="auto"/>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-D</w:t>
      </w:r>
      <w:r w:rsidRPr="0060648C">
        <w:rPr>
          <w:rFonts w:asciiTheme="minorHAnsi" w:eastAsia="Times New Roman" w:hAnsiTheme="minorHAnsi" w:cstheme="minorHAnsi"/>
          <w:sz w:val="22"/>
          <w:szCs w:val="22"/>
        </w:rPr>
        <w:t xml:space="preserve">isclosure at the earliest opportunity of the fact of </w:t>
      </w:r>
      <w:r>
        <w:rPr>
          <w:rFonts w:asciiTheme="minorHAnsi" w:eastAsia="Times New Roman" w:hAnsiTheme="minorHAnsi" w:cstheme="minorHAnsi"/>
          <w:sz w:val="22"/>
          <w:szCs w:val="22"/>
        </w:rPr>
        <w:t xml:space="preserve">the </w:t>
      </w:r>
      <w:r w:rsidRPr="0060648C">
        <w:rPr>
          <w:rFonts w:asciiTheme="minorHAnsi" w:eastAsia="Times New Roman" w:hAnsiTheme="minorHAnsi" w:cstheme="minorHAnsi"/>
          <w:sz w:val="22"/>
          <w:szCs w:val="22"/>
        </w:rPr>
        <w:t xml:space="preserve">funding. </w:t>
      </w:r>
    </w:p>
    <w:p w14:paraId="00000075" w14:textId="05F1CF59" w:rsidR="0001123C" w:rsidRDefault="00B474E3" w:rsidP="0060648C">
      <w:pPr>
        <w:spacing w:line="276" w:lineRule="auto"/>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-P</w:t>
      </w:r>
      <w:r w:rsidRPr="0060648C">
        <w:rPr>
          <w:rFonts w:asciiTheme="minorHAnsi" w:eastAsia="Times New Roman" w:hAnsiTheme="minorHAnsi" w:cstheme="minorHAnsi"/>
          <w:sz w:val="22"/>
          <w:szCs w:val="22"/>
        </w:rPr>
        <w:t xml:space="preserve">rotections for ordinary consumers who seek litigation funding. </w:t>
      </w:r>
    </w:p>
    <w:p w14:paraId="6CB53314" w14:textId="77777777" w:rsidR="0060648C" w:rsidRPr="0060648C" w:rsidRDefault="0060648C" w:rsidP="0060648C">
      <w:pPr>
        <w:spacing w:line="276" w:lineRule="auto"/>
        <w:contextualSpacing/>
        <w:jc w:val="both"/>
        <w:rPr>
          <w:rFonts w:asciiTheme="minorHAnsi" w:eastAsia="Times New Roman" w:hAnsiTheme="minorHAnsi" w:cstheme="minorHAnsi"/>
          <w:sz w:val="22"/>
          <w:szCs w:val="22"/>
        </w:rPr>
      </w:pPr>
    </w:p>
    <w:p w14:paraId="00000076" w14:textId="7BE3DE07" w:rsidR="0001123C" w:rsidRPr="0060648C" w:rsidRDefault="00000000" w:rsidP="0060648C">
      <w:pPr>
        <w:pStyle w:val="Heading2"/>
        <w:keepNext w:val="0"/>
        <w:keepLines w:val="0"/>
        <w:spacing w:before="0" w:after="120" w:line="276" w:lineRule="auto"/>
        <w:contextualSpacing/>
        <w:jc w:val="both"/>
        <w:rPr>
          <w:rFonts w:asciiTheme="minorHAnsi" w:eastAsia="Times New Roman" w:hAnsiTheme="minorHAnsi" w:cstheme="minorHAnsi"/>
          <w:b w:val="0"/>
          <w:sz w:val="22"/>
          <w:szCs w:val="22"/>
        </w:rPr>
      </w:pPr>
      <w:bookmarkStart w:id="1" w:name="_heading=h.1e9kylpuwxm8" w:colFirst="0" w:colLast="0"/>
      <w:bookmarkEnd w:id="1"/>
      <w:r w:rsidRPr="0060648C">
        <w:rPr>
          <w:rFonts w:asciiTheme="minorHAnsi" w:eastAsia="Times New Roman" w:hAnsiTheme="minorHAnsi" w:cstheme="minorHAnsi"/>
          <w:b w:val="0"/>
          <w:sz w:val="22"/>
          <w:szCs w:val="22"/>
        </w:rPr>
        <w:t xml:space="preserve">(iii) </w:t>
      </w:r>
      <w:r w:rsidRPr="005A5534">
        <w:rPr>
          <w:rFonts w:asciiTheme="minorHAnsi" w:eastAsia="Times New Roman" w:hAnsiTheme="minorHAnsi" w:cstheme="minorHAnsi"/>
          <w:b w:val="0"/>
          <w:sz w:val="22"/>
          <w:szCs w:val="22"/>
          <w:u w:val="single"/>
        </w:rPr>
        <w:t>Ireland</w:t>
      </w:r>
      <w:r w:rsidR="0060648C" w:rsidRPr="005A5534">
        <w:rPr>
          <w:rFonts w:asciiTheme="minorHAnsi" w:eastAsia="Times New Roman" w:hAnsiTheme="minorHAnsi" w:cstheme="minorHAnsi"/>
          <w:b w:val="0"/>
          <w:sz w:val="22"/>
          <w:szCs w:val="22"/>
          <w:u w:val="single"/>
        </w:rPr>
        <w:t xml:space="preserve"> (Republic of):</w:t>
      </w:r>
    </w:p>
    <w:p w14:paraId="00000077" w14:textId="77777777" w:rsidR="0001123C" w:rsidRDefault="00000000" w:rsidP="0060648C">
      <w:pPr>
        <w:spacing w:after="200"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lastRenderedPageBreak/>
        <w:t xml:space="preserve">In Ireland, the doctrines of champerty and maintenance still apply. This was reaffirmed in 2015 by the Supreme Court in </w:t>
      </w:r>
      <w:r w:rsidRPr="0060648C">
        <w:rPr>
          <w:rFonts w:asciiTheme="minorHAnsi" w:eastAsia="Times New Roman" w:hAnsiTheme="minorHAnsi" w:cstheme="minorHAnsi"/>
          <w:i/>
          <w:sz w:val="22"/>
          <w:szCs w:val="22"/>
        </w:rPr>
        <w:t>Persona</w:t>
      </w:r>
      <w:r w:rsidRPr="0060648C">
        <w:rPr>
          <w:rFonts w:asciiTheme="minorHAnsi" w:eastAsia="Times New Roman" w:hAnsiTheme="minorHAnsi" w:cstheme="minorHAnsi"/>
          <w:sz w:val="22"/>
          <w:szCs w:val="22"/>
        </w:rPr>
        <w:t>,</w:t>
      </w:r>
      <w:r w:rsidRPr="0060648C">
        <w:rPr>
          <w:rFonts w:asciiTheme="minorHAnsi" w:eastAsia="Times New Roman" w:hAnsiTheme="minorHAnsi" w:cstheme="minorHAnsi"/>
          <w:sz w:val="22"/>
          <w:szCs w:val="22"/>
          <w:vertAlign w:val="superscript"/>
        </w:rPr>
        <w:footnoteReference w:id="18"/>
      </w:r>
      <w:r w:rsidRPr="0060648C">
        <w:rPr>
          <w:rFonts w:asciiTheme="minorHAnsi" w:eastAsia="Times New Roman" w:hAnsiTheme="minorHAnsi" w:cstheme="minorHAnsi"/>
          <w:sz w:val="22"/>
          <w:szCs w:val="22"/>
        </w:rPr>
        <w:t xml:space="preserve"> where professional third-party funding of litigation was said to offend the rule against maintenance and champerty.</w:t>
      </w:r>
    </w:p>
    <w:p w14:paraId="26097016" w14:textId="77777777" w:rsidR="0060648C" w:rsidRPr="0060648C" w:rsidRDefault="0060648C" w:rsidP="0060648C">
      <w:pPr>
        <w:spacing w:after="200" w:line="276" w:lineRule="auto"/>
        <w:contextualSpacing/>
        <w:jc w:val="both"/>
        <w:rPr>
          <w:rFonts w:asciiTheme="minorHAnsi" w:eastAsia="Times New Roman" w:hAnsiTheme="minorHAnsi" w:cstheme="minorHAnsi"/>
          <w:sz w:val="22"/>
          <w:szCs w:val="22"/>
        </w:rPr>
      </w:pPr>
    </w:p>
    <w:p w14:paraId="00000079" w14:textId="35D088BB" w:rsidR="0001123C" w:rsidRDefault="00000000" w:rsidP="0060648C">
      <w:pPr>
        <w:spacing w:after="200"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 xml:space="preserve">In the wake of the Bernie Madoff Ponzi Scheme Scandal in 2008, several cases arose in Ireland concerning litigation funding. In one, </w:t>
      </w:r>
      <w:r w:rsidRPr="0060648C">
        <w:rPr>
          <w:rFonts w:asciiTheme="minorHAnsi" w:eastAsia="Times New Roman" w:hAnsiTheme="minorHAnsi" w:cstheme="minorHAnsi"/>
          <w:bCs/>
          <w:sz w:val="22"/>
          <w:szCs w:val="22"/>
        </w:rPr>
        <w:t>Judge O’Donnell</w:t>
      </w:r>
      <w:r w:rsidRPr="0060648C">
        <w:rPr>
          <w:rFonts w:asciiTheme="minorHAnsi" w:eastAsia="Times New Roman" w:hAnsiTheme="minorHAnsi" w:cstheme="minorHAnsi"/>
          <w:sz w:val="22"/>
          <w:szCs w:val="22"/>
        </w:rPr>
        <w:t xml:space="preserve"> acknowledged the public policy benefits of litigation funding but found that the common law rules against maintenance and champerty were still good law.</w:t>
      </w:r>
      <w:r w:rsidR="00B474E3">
        <w:rPr>
          <w:rFonts w:asciiTheme="minorHAnsi" w:eastAsia="Times New Roman" w:hAnsiTheme="minorHAnsi" w:cstheme="minorHAnsi"/>
          <w:sz w:val="22"/>
          <w:szCs w:val="22"/>
        </w:rPr>
        <w:t xml:space="preserve"> </w:t>
      </w:r>
      <w:r w:rsidRPr="0060648C">
        <w:rPr>
          <w:rFonts w:asciiTheme="minorHAnsi" w:eastAsia="Times New Roman" w:hAnsiTheme="minorHAnsi" w:cstheme="minorHAnsi"/>
          <w:sz w:val="22"/>
          <w:szCs w:val="22"/>
        </w:rPr>
        <w:t xml:space="preserve">Funding is permitted when funders have a legitimate interest in the litigation. In another Madoff-related case, the courts permitted shareholders of a company to fund that company’s litigation. Chief </w:t>
      </w:r>
      <w:r w:rsidRPr="0060648C">
        <w:rPr>
          <w:rFonts w:asciiTheme="minorHAnsi" w:eastAsia="Times New Roman" w:hAnsiTheme="minorHAnsi" w:cstheme="minorHAnsi"/>
          <w:bCs/>
          <w:sz w:val="22"/>
          <w:szCs w:val="22"/>
        </w:rPr>
        <w:t>Justice Clarke</w:t>
      </w:r>
      <w:r w:rsidRPr="0060648C">
        <w:rPr>
          <w:rFonts w:asciiTheme="minorHAnsi" w:eastAsia="Times New Roman" w:hAnsiTheme="minorHAnsi" w:cstheme="minorHAnsi"/>
          <w:b/>
          <w:sz w:val="22"/>
          <w:szCs w:val="22"/>
        </w:rPr>
        <w:t xml:space="preserve"> </w:t>
      </w:r>
      <w:r w:rsidRPr="0060648C">
        <w:rPr>
          <w:rFonts w:asciiTheme="minorHAnsi" w:eastAsia="Times New Roman" w:hAnsiTheme="minorHAnsi" w:cstheme="minorHAnsi"/>
          <w:sz w:val="22"/>
          <w:szCs w:val="22"/>
        </w:rPr>
        <w:t>d</w:t>
      </w:r>
      <w:r w:rsidR="006E13D7" w:rsidRPr="0060648C">
        <w:rPr>
          <w:rFonts w:asciiTheme="minorHAnsi" w:eastAsia="Times New Roman" w:hAnsiTheme="minorHAnsi" w:cstheme="minorHAnsi"/>
          <w:sz w:val="22"/>
          <w:szCs w:val="22"/>
        </w:rPr>
        <w:t>istinguished</w:t>
      </w:r>
      <w:r w:rsidRPr="0060648C">
        <w:rPr>
          <w:rFonts w:asciiTheme="minorHAnsi" w:eastAsia="Times New Roman" w:hAnsiTheme="minorHAnsi" w:cstheme="minorHAnsi"/>
          <w:sz w:val="22"/>
          <w:szCs w:val="22"/>
        </w:rPr>
        <w:t xml:space="preserve"> those third parties who simply buy into the litigation and those who, while being strangers </w:t>
      </w:r>
      <w:r w:rsidRPr="0060648C">
        <w:rPr>
          <w:rFonts w:asciiTheme="minorHAnsi" w:eastAsia="Times New Roman" w:hAnsiTheme="minorHAnsi" w:cstheme="minorHAnsi"/>
          <w:i/>
          <w:sz w:val="22"/>
          <w:szCs w:val="22"/>
        </w:rPr>
        <w:t>sensu stricto</w:t>
      </w:r>
      <w:r w:rsidRPr="0060648C">
        <w:rPr>
          <w:rFonts w:asciiTheme="minorHAnsi" w:eastAsia="Times New Roman" w:hAnsiTheme="minorHAnsi" w:cstheme="minorHAnsi"/>
          <w:sz w:val="22"/>
          <w:szCs w:val="22"/>
        </w:rPr>
        <w:t xml:space="preserve"> to the proceedings, have a legitimate interest in the outcome of the case.</w:t>
      </w:r>
    </w:p>
    <w:p w14:paraId="3063848F" w14:textId="77777777" w:rsidR="0060648C" w:rsidRPr="0060648C" w:rsidRDefault="0060648C" w:rsidP="0060648C">
      <w:pPr>
        <w:spacing w:after="200" w:line="276" w:lineRule="auto"/>
        <w:contextualSpacing/>
        <w:jc w:val="both"/>
        <w:rPr>
          <w:rFonts w:asciiTheme="minorHAnsi" w:eastAsia="Times New Roman" w:hAnsiTheme="minorHAnsi" w:cstheme="minorHAnsi"/>
          <w:sz w:val="22"/>
          <w:szCs w:val="22"/>
        </w:rPr>
      </w:pPr>
    </w:p>
    <w:p w14:paraId="7E49ECB6" w14:textId="786D30D0" w:rsidR="00D264D3" w:rsidRDefault="00000000" w:rsidP="0060648C">
      <w:pPr>
        <w:spacing w:after="200"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The Law Reform Commission</w:t>
      </w:r>
      <w:r w:rsidR="00B474E3">
        <w:rPr>
          <w:rFonts w:asciiTheme="minorHAnsi" w:eastAsia="Times New Roman" w:hAnsiTheme="minorHAnsi" w:cstheme="minorHAnsi"/>
          <w:sz w:val="22"/>
          <w:szCs w:val="22"/>
        </w:rPr>
        <w:t xml:space="preserve"> (‘LRC’)</w:t>
      </w:r>
      <w:r w:rsidRPr="0060648C">
        <w:rPr>
          <w:rFonts w:asciiTheme="minorHAnsi" w:eastAsia="Times New Roman" w:hAnsiTheme="minorHAnsi" w:cstheme="minorHAnsi"/>
          <w:sz w:val="22"/>
          <w:szCs w:val="22"/>
        </w:rPr>
        <w:t xml:space="preserve"> is engaged in an ongoing policy review.</w:t>
      </w:r>
      <w:r w:rsidR="00B474E3">
        <w:rPr>
          <w:rFonts w:asciiTheme="minorHAnsi" w:eastAsia="Times New Roman" w:hAnsiTheme="minorHAnsi" w:cstheme="minorHAnsi"/>
          <w:sz w:val="22"/>
          <w:szCs w:val="22"/>
        </w:rPr>
        <w:t xml:space="preserve"> </w:t>
      </w:r>
      <w:r w:rsidRPr="0060648C">
        <w:rPr>
          <w:rFonts w:asciiTheme="minorHAnsi" w:eastAsia="Times New Roman" w:hAnsiTheme="minorHAnsi" w:cstheme="minorHAnsi"/>
          <w:sz w:val="22"/>
          <w:szCs w:val="22"/>
        </w:rPr>
        <w:t xml:space="preserve">The European Parliament has adopted a resolution recommending pan-European legislation on third-party litigation funding, including imposing limits upon the proceeds payable to funders. The European Commission similarly undertook a mapping exercise. The LRC took note of the Parliament’s resolution and acknowledged its significant implications for access to justice, equality of arms, and creditor recovery. It also noted the policy drawbacks of such legislation, which included </w:t>
      </w:r>
      <w:r w:rsidR="0060648C">
        <w:rPr>
          <w:rFonts w:asciiTheme="minorHAnsi" w:eastAsia="Times New Roman" w:hAnsiTheme="minorHAnsi" w:cstheme="minorHAnsi"/>
          <w:sz w:val="22"/>
          <w:szCs w:val="22"/>
        </w:rPr>
        <w:t xml:space="preserve">the </w:t>
      </w:r>
      <w:r w:rsidRPr="0060648C">
        <w:rPr>
          <w:rFonts w:asciiTheme="minorHAnsi" w:eastAsia="Times New Roman" w:hAnsiTheme="minorHAnsi" w:cstheme="minorHAnsi"/>
          <w:sz w:val="22"/>
          <w:szCs w:val="22"/>
        </w:rPr>
        <w:t xml:space="preserve">propagation of vexatious litigation and </w:t>
      </w:r>
      <w:proofErr w:type="spellStart"/>
      <w:r w:rsidRPr="0060648C">
        <w:rPr>
          <w:rFonts w:asciiTheme="minorHAnsi" w:eastAsia="Times New Roman" w:hAnsiTheme="minorHAnsi" w:cstheme="minorHAnsi"/>
          <w:sz w:val="22"/>
          <w:szCs w:val="22"/>
        </w:rPr>
        <w:t>undercompensation</w:t>
      </w:r>
      <w:proofErr w:type="spellEnd"/>
      <w:r w:rsidRPr="0060648C">
        <w:rPr>
          <w:rFonts w:asciiTheme="minorHAnsi" w:eastAsia="Times New Roman" w:hAnsiTheme="minorHAnsi" w:cstheme="minorHAnsi"/>
          <w:sz w:val="22"/>
          <w:szCs w:val="22"/>
        </w:rPr>
        <w:t xml:space="preserve"> for genuine litigants.</w:t>
      </w:r>
      <w:r w:rsidR="00D264D3">
        <w:rPr>
          <w:rFonts w:asciiTheme="minorHAnsi" w:eastAsia="Times New Roman" w:hAnsiTheme="minorHAnsi" w:cstheme="minorHAnsi"/>
          <w:sz w:val="22"/>
          <w:szCs w:val="22"/>
        </w:rPr>
        <w:t xml:space="preserve"> </w:t>
      </w:r>
      <w:r w:rsidRPr="0060648C">
        <w:rPr>
          <w:rFonts w:asciiTheme="minorHAnsi" w:eastAsia="Times New Roman" w:hAnsiTheme="minorHAnsi" w:cstheme="minorHAnsi"/>
          <w:sz w:val="22"/>
          <w:szCs w:val="22"/>
        </w:rPr>
        <w:t xml:space="preserve">The Representative Actions for the Protection of Collective Interests of </w:t>
      </w:r>
      <w:r w:rsidRPr="0060648C">
        <w:rPr>
          <w:rFonts w:asciiTheme="minorHAnsi" w:eastAsia="Times New Roman" w:hAnsiTheme="minorHAnsi" w:cstheme="minorHAnsi"/>
          <w:i/>
          <w:iCs/>
          <w:sz w:val="22"/>
          <w:szCs w:val="22"/>
        </w:rPr>
        <w:t>Consumers Act 2023</w:t>
      </w:r>
      <w:r w:rsidRPr="0060648C">
        <w:rPr>
          <w:rFonts w:asciiTheme="minorHAnsi" w:eastAsia="Times New Roman" w:hAnsiTheme="minorHAnsi" w:cstheme="minorHAnsi"/>
          <w:sz w:val="22"/>
          <w:szCs w:val="22"/>
        </w:rPr>
        <w:t xml:space="preserve">, when it comes into force, will disapply the torts of maintenance and champerty in the context of international commercial arbitration. The government is currently awaiting LRC recommendations before commencing the </w:t>
      </w:r>
      <w:r w:rsidR="00B474E3">
        <w:rPr>
          <w:rFonts w:asciiTheme="minorHAnsi" w:eastAsia="Times New Roman" w:hAnsiTheme="minorHAnsi" w:cstheme="minorHAnsi"/>
          <w:sz w:val="22"/>
          <w:szCs w:val="22"/>
        </w:rPr>
        <w:t xml:space="preserve">Consumers Act </w:t>
      </w:r>
      <w:r w:rsidRPr="0060648C">
        <w:rPr>
          <w:rFonts w:asciiTheme="minorHAnsi" w:eastAsia="Times New Roman" w:hAnsiTheme="minorHAnsi" w:cstheme="minorHAnsi"/>
          <w:sz w:val="22"/>
          <w:szCs w:val="22"/>
        </w:rPr>
        <w:t xml:space="preserve">2023. </w:t>
      </w:r>
    </w:p>
    <w:p w14:paraId="3F039C8A" w14:textId="77777777" w:rsidR="00D264D3" w:rsidRDefault="00D264D3" w:rsidP="0060648C">
      <w:pPr>
        <w:spacing w:after="200" w:line="276" w:lineRule="auto"/>
        <w:contextualSpacing/>
        <w:jc w:val="both"/>
        <w:rPr>
          <w:rFonts w:asciiTheme="minorHAnsi" w:eastAsia="Times New Roman" w:hAnsiTheme="minorHAnsi" w:cstheme="minorHAnsi"/>
          <w:sz w:val="22"/>
          <w:szCs w:val="22"/>
        </w:rPr>
      </w:pPr>
    </w:p>
    <w:p w14:paraId="0000007B" w14:textId="244EA719" w:rsidR="0001123C" w:rsidRDefault="00D264D3" w:rsidP="0060648C">
      <w:pPr>
        <w:spacing w:after="200" w:line="276" w:lineRule="auto"/>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T</w:t>
      </w:r>
      <w:r w:rsidRPr="0060648C">
        <w:rPr>
          <w:rFonts w:asciiTheme="minorHAnsi" w:eastAsia="Times New Roman" w:hAnsiTheme="minorHAnsi" w:cstheme="minorHAnsi"/>
          <w:sz w:val="22"/>
          <w:szCs w:val="22"/>
        </w:rPr>
        <w:t>he aviation industry in particular stands to benefit from these new rules, as transactions often take place across multiple jurisdictions. Financially distressed airlines will be able to use litigation funding as a lifeline. On the other hand, for passenger airlines, third-party litigation funding can aggravate the spectre of group claims for cancellations or disruption. This concern, however, is overstated: group litigation can lead to greater efficiency in dealing with such complaints, as there will no longer be a need to defend individual claims.</w:t>
      </w:r>
    </w:p>
    <w:p w14:paraId="36E6261F" w14:textId="77777777" w:rsidR="0060648C" w:rsidRPr="0060648C" w:rsidRDefault="0060648C" w:rsidP="0060648C">
      <w:pPr>
        <w:spacing w:after="200" w:line="276" w:lineRule="auto"/>
        <w:contextualSpacing/>
        <w:jc w:val="both"/>
        <w:rPr>
          <w:rFonts w:asciiTheme="minorHAnsi" w:eastAsia="Times New Roman" w:hAnsiTheme="minorHAnsi" w:cstheme="minorHAnsi"/>
          <w:sz w:val="22"/>
          <w:szCs w:val="22"/>
        </w:rPr>
      </w:pPr>
    </w:p>
    <w:p w14:paraId="6EC62C8C" w14:textId="13CD6720" w:rsidR="00D264D3" w:rsidRDefault="00AB2B70" w:rsidP="0060648C">
      <w:pPr>
        <w:spacing w:after="200" w:line="276" w:lineRule="auto"/>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Prof</w:t>
      </w:r>
      <w:r w:rsidR="0060648C">
        <w:rPr>
          <w:rFonts w:asciiTheme="minorHAnsi" w:eastAsia="Times New Roman" w:hAnsiTheme="minorHAnsi" w:cstheme="minorHAnsi"/>
          <w:sz w:val="22"/>
          <w:szCs w:val="22"/>
        </w:rPr>
        <w:t>.</w:t>
      </w:r>
      <w:r w:rsidR="0060648C" w:rsidRPr="0060648C">
        <w:rPr>
          <w:rFonts w:asciiTheme="minorHAnsi" w:eastAsia="Times New Roman" w:hAnsiTheme="minorHAnsi" w:cstheme="minorHAnsi"/>
          <w:sz w:val="22"/>
          <w:szCs w:val="22"/>
        </w:rPr>
        <w:t xml:space="preserve"> Wool asked about the policy justification for drawing a distinction between arbitration and litigation in terms of when litigation funding will be permitted. He wondered why there was significant movement in Ireland in respect of arbitration but not so in the case of litigation. </w:t>
      </w:r>
      <w:r w:rsidR="005A5534">
        <w:rPr>
          <w:rFonts w:asciiTheme="minorHAnsi" w:eastAsia="Times New Roman" w:hAnsiTheme="minorHAnsi" w:cstheme="minorHAnsi"/>
          <w:sz w:val="22"/>
          <w:szCs w:val="22"/>
        </w:rPr>
        <w:t>Ms.</w:t>
      </w:r>
      <w:r w:rsidR="0060648C" w:rsidRPr="0060648C">
        <w:rPr>
          <w:rFonts w:asciiTheme="minorHAnsi" w:eastAsia="Times New Roman" w:hAnsiTheme="minorHAnsi" w:cstheme="minorHAnsi"/>
          <w:sz w:val="22"/>
          <w:szCs w:val="22"/>
        </w:rPr>
        <w:t xml:space="preserve"> </w:t>
      </w:r>
      <w:proofErr w:type="spellStart"/>
      <w:r w:rsidR="0060648C" w:rsidRPr="0060648C">
        <w:rPr>
          <w:rFonts w:asciiTheme="minorHAnsi" w:eastAsia="Times New Roman" w:hAnsiTheme="minorHAnsi" w:cstheme="minorHAnsi"/>
          <w:sz w:val="22"/>
          <w:szCs w:val="22"/>
        </w:rPr>
        <w:t>Mulconrey</w:t>
      </w:r>
      <w:proofErr w:type="spellEnd"/>
      <w:r w:rsidR="0060648C" w:rsidRPr="0060648C">
        <w:rPr>
          <w:rFonts w:asciiTheme="minorHAnsi" w:eastAsia="Times New Roman" w:hAnsiTheme="minorHAnsi" w:cstheme="minorHAnsi"/>
          <w:sz w:val="22"/>
          <w:szCs w:val="22"/>
        </w:rPr>
        <w:t xml:space="preserve"> replied that one explanation may be that the access to justice concerns in the two fields are different; arbitration</w:t>
      </w:r>
      <w:r w:rsidR="005A5534">
        <w:rPr>
          <w:rFonts w:asciiTheme="minorHAnsi" w:eastAsia="Times New Roman" w:hAnsiTheme="minorHAnsi" w:cstheme="minorHAnsi"/>
          <w:sz w:val="22"/>
          <w:szCs w:val="22"/>
        </w:rPr>
        <w:t>,</w:t>
      </w:r>
      <w:r w:rsidR="0060648C" w:rsidRPr="0060648C">
        <w:rPr>
          <w:rFonts w:asciiTheme="minorHAnsi" w:eastAsia="Times New Roman" w:hAnsiTheme="minorHAnsi" w:cstheme="minorHAnsi"/>
          <w:sz w:val="22"/>
          <w:szCs w:val="22"/>
        </w:rPr>
        <w:t xml:space="preserve"> especially</w:t>
      </w:r>
      <w:r w:rsidR="00D264D3">
        <w:rPr>
          <w:rFonts w:asciiTheme="minorHAnsi" w:eastAsia="Times New Roman" w:hAnsiTheme="minorHAnsi" w:cstheme="minorHAnsi"/>
          <w:sz w:val="22"/>
          <w:szCs w:val="22"/>
        </w:rPr>
        <w:t>,</w:t>
      </w:r>
      <w:r w:rsidR="0060648C" w:rsidRPr="0060648C">
        <w:rPr>
          <w:rFonts w:asciiTheme="minorHAnsi" w:eastAsia="Times New Roman" w:hAnsiTheme="minorHAnsi" w:cstheme="minorHAnsi"/>
          <w:sz w:val="22"/>
          <w:szCs w:val="22"/>
        </w:rPr>
        <w:t xml:space="preserve"> is consented to by contract. Mr</w:t>
      </w:r>
      <w:r w:rsidR="00D264D3">
        <w:rPr>
          <w:rFonts w:asciiTheme="minorHAnsi" w:eastAsia="Times New Roman" w:hAnsiTheme="minorHAnsi" w:cstheme="minorHAnsi"/>
          <w:sz w:val="22"/>
          <w:szCs w:val="22"/>
        </w:rPr>
        <w:t>.</w:t>
      </w:r>
      <w:r w:rsidR="0060648C" w:rsidRPr="0060648C">
        <w:rPr>
          <w:rFonts w:asciiTheme="minorHAnsi" w:eastAsia="Times New Roman" w:hAnsiTheme="minorHAnsi" w:cstheme="minorHAnsi"/>
          <w:sz w:val="22"/>
          <w:szCs w:val="22"/>
        </w:rPr>
        <w:t xml:space="preserve"> Justice Collins noted that the common law has never imposed champerty and maintenance prohibitions on private arbitration.</w:t>
      </w:r>
      <w:r w:rsidR="00D264D3">
        <w:rPr>
          <w:rFonts w:asciiTheme="minorHAnsi" w:eastAsia="Times New Roman" w:hAnsiTheme="minorHAnsi" w:cstheme="minorHAnsi"/>
          <w:sz w:val="22"/>
          <w:szCs w:val="22"/>
        </w:rPr>
        <w:t xml:space="preserve"> Concerns that litigation funding of arbitration may conflict with public policy considerations remain, </w:t>
      </w:r>
      <w:r w:rsidR="00D264D3" w:rsidRPr="0060648C">
        <w:rPr>
          <w:rFonts w:asciiTheme="minorHAnsi" w:eastAsia="Times New Roman" w:hAnsiTheme="minorHAnsi" w:cstheme="minorHAnsi"/>
          <w:sz w:val="22"/>
          <w:szCs w:val="22"/>
        </w:rPr>
        <w:t xml:space="preserve">the government has </w:t>
      </w:r>
      <w:r w:rsidR="00D264D3">
        <w:rPr>
          <w:rFonts w:asciiTheme="minorHAnsi" w:eastAsia="Times New Roman" w:hAnsiTheme="minorHAnsi" w:cstheme="minorHAnsi"/>
          <w:sz w:val="22"/>
          <w:szCs w:val="22"/>
        </w:rPr>
        <w:t xml:space="preserve">maintained </w:t>
      </w:r>
      <w:r w:rsidR="00D264D3" w:rsidRPr="0060648C">
        <w:rPr>
          <w:rFonts w:asciiTheme="minorHAnsi" w:eastAsia="Times New Roman" w:hAnsiTheme="minorHAnsi" w:cstheme="minorHAnsi"/>
          <w:sz w:val="22"/>
          <w:szCs w:val="22"/>
        </w:rPr>
        <w:t xml:space="preserve">that the underlying common law justifications for champerty and maintenance do not necessarily hold </w:t>
      </w:r>
      <w:r w:rsidR="00D264D3">
        <w:rPr>
          <w:rFonts w:asciiTheme="minorHAnsi" w:eastAsia="Times New Roman" w:hAnsiTheme="minorHAnsi" w:cstheme="minorHAnsi"/>
          <w:sz w:val="22"/>
          <w:szCs w:val="22"/>
        </w:rPr>
        <w:t xml:space="preserve">true </w:t>
      </w:r>
      <w:r w:rsidR="00D264D3" w:rsidRPr="0060648C">
        <w:rPr>
          <w:rFonts w:asciiTheme="minorHAnsi" w:eastAsia="Times New Roman" w:hAnsiTheme="minorHAnsi" w:cstheme="minorHAnsi"/>
          <w:sz w:val="22"/>
          <w:szCs w:val="22"/>
        </w:rPr>
        <w:t>i</w:t>
      </w:r>
      <w:r w:rsidR="00D264D3">
        <w:rPr>
          <w:rFonts w:asciiTheme="minorHAnsi" w:eastAsia="Times New Roman" w:hAnsiTheme="minorHAnsi" w:cstheme="minorHAnsi"/>
          <w:sz w:val="22"/>
          <w:szCs w:val="22"/>
        </w:rPr>
        <w:t>n</w:t>
      </w:r>
      <w:r w:rsidR="00D264D3" w:rsidRPr="0060648C">
        <w:rPr>
          <w:rFonts w:asciiTheme="minorHAnsi" w:eastAsia="Times New Roman" w:hAnsiTheme="minorHAnsi" w:cstheme="minorHAnsi"/>
          <w:sz w:val="22"/>
          <w:szCs w:val="22"/>
        </w:rPr>
        <w:t xml:space="preserve"> arbitration.</w:t>
      </w:r>
    </w:p>
    <w:p w14:paraId="0000007E" w14:textId="1C26F063" w:rsidR="0001123C" w:rsidRDefault="00AB2B70" w:rsidP="00C61687">
      <w:pPr>
        <w:spacing w:line="276" w:lineRule="auto"/>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Prof</w:t>
      </w:r>
      <w:r w:rsidR="00D264D3">
        <w:rPr>
          <w:rFonts w:asciiTheme="minorHAnsi" w:eastAsia="Times New Roman" w:hAnsiTheme="minorHAnsi" w:cstheme="minorHAnsi"/>
          <w:sz w:val="22"/>
          <w:szCs w:val="22"/>
        </w:rPr>
        <w:t>.</w:t>
      </w:r>
      <w:r w:rsidR="00D264D3" w:rsidRPr="0060648C">
        <w:rPr>
          <w:rFonts w:asciiTheme="minorHAnsi" w:eastAsia="Times New Roman" w:hAnsiTheme="minorHAnsi" w:cstheme="minorHAnsi"/>
          <w:sz w:val="22"/>
          <w:szCs w:val="22"/>
        </w:rPr>
        <w:t xml:space="preserve"> Wool further asked whether the judgment in </w:t>
      </w:r>
      <w:r w:rsidR="00D264D3" w:rsidRPr="0060648C">
        <w:rPr>
          <w:rFonts w:asciiTheme="minorHAnsi" w:eastAsia="Times New Roman" w:hAnsiTheme="minorHAnsi" w:cstheme="minorHAnsi"/>
          <w:i/>
          <w:sz w:val="22"/>
          <w:szCs w:val="22"/>
        </w:rPr>
        <w:t>Scully v Coucal</w:t>
      </w:r>
      <w:r w:rsidR="00D264D3" w:rsidRPr="0060648C">
        <w:rPr>
          <w:rFonts w:asciiTheme="minorHAnsi" w:eastAsia="Times New Roman" w:hAnsiTheme="minorHAnsi" w:cstheme="minorHAnsi"/>
          <w:sz w:val="22"/>
          <w:szCs w:val="22"/>
        </w:rPr>
        <w:t xml:space="preserve"> effectively made it possible to circumvent Irish common law rules by bringing an action in a foreign jurisdiction and seeking enforcement in Ireland.</w:t>
      </w:r>
      <w:r w:rsidR="00D264D3" w:rsidRPr="0060648C">
        <w:rPr>
          <w:rFonts w:asciiTheme="minorHAnsi" w:eastAsia="Times New Roman" w:hAnsiTheme="minorHAnsi" w:cstheme="minorHAnsi"/>
          <w:sz w:val="22"/>
          <w:szCs w:val="22"/>
          <w:vertAlign w:val="superscript"/>
        </w:rPr>
        <w:footnoteReference w:id="19"/>
      </w:r>
      <w:r w:rsidR="00D264D3" w:rsidRPr="0060648C">
        <w:rPr>
          <w:rFonts w:asciiTheme="minorHAnsi" w:eastAsia="Times New Roman" w:hAnsiTheme="minorHAnsi" w:cstheme="minorHAnsi"/>
          <w:sz w:val="22"/>
          <w:szCs w:val="22"/>
        </w:rPr>
        <w:t xml:space="preserve"> Mr Justice Collins pointed out that the Polish litigation </w:t>
      </w:r>
      <w:r w:rsidR="00C61687">
        <w:rPr>
          <w:rFonts w:asciiTheme="minorHAnsi" w:eastAsia="Times New Roman" w:hAnsiTheme="minorHAnsi" w:cstheme="minorHAnsi"/>
          <w:sz w:val="22"/>
          <w:szCs w:val="22"/>
        </w:rPr>
        <w:t xml:space="preserve">in question </w:t>
      </w:r>
      <w:r w:rsidR="00D264D3" w:rsidRPr="0060648C">
        <w:rPr>
          <w:rFonts w:asciiTheme="minorHAnsi" w:eastAsia="Times New Roman" w:hAnsiTheme="minorHAnsi" w:cstheme="minorHAnsi"/>
          <w:sz w:val="22"/>
          <w:szCs w:val="22"/>
        </w:rPr>
        <w:t xml:space="preserve">was not funded </w:t>
      </w:r>
      <w:r w:rsidR="00C61687" w:rsidRPr="00C61687">
        <w:rPr>
          <w:rFonts w:asciiTheme="minorHAnsi" w:eastAsia="Times New Roman" w:hAnsiTheme="minorHAnsi" w:cstheme="minorHAnsi"/>
          <w:sz w:val="22"/>
          <w:szCs w:val="22"/>
        </w:rPr>
        <w:t xml:space="preserve">and that </w:t>
      </w:r>
      <w:r w:rsidR="00C61687" w:rsidRPr="00C61687">
        <w:rPr>
          <w:sz w:val="22"/>
          <w:szCs w:val="22"/>
        </w:rPr>
        <w:t>the aggregation of claims appeared to be for efficiency rather than strategic advantage</w:t>
      </w:r>
      <w:r w:rsidR="00D264D3" w:rsidRPr="0060648C">
        <w:rPr>
          <w:rFonts w:asciiTheme="minorHAnsi" w:eastAsia="Times New Roman" w:hAnsiTheme="minorHAnsi" w:cstheme="minorHAnsi"/>
          <w:sz w:val="22"/>
          <w:szCs w:val="22"/>
        </w:rPr>
        <w:t xml:space="preserve">. The Supreme Court in that case held that going to other states with laxer litigation finding rules and coming back to Ireland for enforcement may be contrary to public policy, but that </w:t>
      </w:r>
      <w:r w:rsidR="00C61687">
        <w:rPr>
          <w:rFonts w:asciiTheme="minorHAnsi" w:eastAsia="Times New Roman" w:hAnsiTheme="minorHAnsi" w:cstheme="minorHAnsi"/>
          <w:sz w:val="22"/>
          <w:szCs w:val="22"/>
        </w:rPr>
        <w:t>if</w:t>
      </w:r>
      <w:r w:rsidR="00D264D3" w:rsidRPr="0060648C">
        <w:rPr>
          <w:rFonts w:asciiTheme="minorHAnsi" w:eastAsia="Times New Roman" w:hAnsiTheme="minorHAnsi" w:cstheme="minorHAnsi"/>
          <w:sz w:val="22"/>
          <w:szCs w:val="22"/>
        </w:rPr>
        <w:t xml:space="preserve"> </w:t>
      </w:r>
      <w:r w:rsidR="00C61687">
        <w:rPr>
          <w:rFonts w:asciiTheme="minorHAnsi" w:eastAsia="Times New Roman" w:hAnsiTheme="minorHAnsi" w:cstheme="minorHAnsi"/>
          <w:sz w:val="22"/>
          <w:szCs w:val="22"/>
        </w:rPr>
        <w:t xml:space="preserve">the </w:t>
      </w:r>
      <w:r w:rsidR="00D264D3" w:rsidRPr="0060648C">
        <w:rPr>
          <w:rFonts w:asciiTheme="minorHAnsi" w:eastAsia="Times New Roman" w:hAnsiTheme="minorHAnsi" w:cstheme="minorHAnsi"/>
          <w:sz w:val="22"/>
          <w:szCs w:val="22"/>
        </w:rPr>
        <w:t xml:space="preserve">judgment complies with local rules, the use of third-party litigation funding will not </w:t>
      </w:r>
      <w:r w:rsidR="00D264D3" w:rsidRPr="0060648C">
        <w:rPr>
          <w:rFonts w:asciiTheme="minorHAnsi" w:eastAsia="Times New Roman" w:hAnsiTheme="minorHAnsi" w:cstheme="minorHAnsi"/>
          <w:i/>
          <w:sz w:val="22"/>
          <w:szCs w:val="22"/>
        </w:rPr>
        <w:t>ipso facto</w:t>
      </w:r>
      <w:r w:rsidR="00D264D3" w:rsidRPr="0060648C">
        <w:rPr>
          <w:rFonts w:asciiTheme="minorHAnsi" w:eastAsia="Times New Roman" w:hAnsiTheme="minorHAnsi" w:cstheme="minorHAnsi"/>
          <w:sz w:val="22"/>
          <w:szCs w:val="22"/>
        </w:rPr>
        <w:t xml:space="preserve"> be sufficient to refuse enforcement of a foreign judgment in Ireland.</w:t>
      </w:r>
    </w:p>
    <w:p w14:paraId="60536938" w14:textId="77777777" w:rsidR="006E13D7" w:rsidRPr="0060648C" w:rsidRDefault="006E13D7" w:rsidP="0060648C">
      <w:pPr>
        <w:spacing w:after="200" w:line="276" w:lineRule="auto"/>
        <w:contextualSpacing/>
        <w:jc w:val="both"/>
        <w:rPr>
          <w:rFonts w:asciiTheme="minorHAnsi" w:eastAsia="Arial" w:hAnsiTheme="minorHAnsi" w:cstheme="minorHAnsi"/>
          <w:sz w:val="22"/>
          <w:szCs w:val="22"/>
        </w:rPr>
      </w:pPr>
    </w:p>
    <w:p w14:paraId="0000007F" w14:textId="77777777" w:rsidR="0001123C" w:rsidRPr="0060648C" w:rsidRDefault="00000000" w:rsidP="0060648C">
      <w:pPr>
        <w:spacing w:line="276" w:lineRule="auto"/>
        <w:contextualSpacing/>
        <w:jc w:val="both"/>
        <w:rPr>
          <w:rFonts w:asciiTheme="minorHAnsi" w:eastAsia="Times New Roman" w:hAnsiTheme="minorHAnsi" w:cstheme="minorHAnsi"/>
          <w:b/>
          <w:color w:val="000000"/>
          <w:sz w:val="22"/>
          <w:szCs w:val="22"/>
        </w:rPr>
      </w:pPr>
      <w:r w:rsidRPr="0060648C">
        <w:rPr>
          <w:rFonts w:asciiTheme="minorHAnsi" w:eastAsia="Times New Roman" w:hAnsiTheme="minorHAnsi" w:cstheme="minorHAnsi"/>
          <w:b/>
          <w:color w:val="000000"/>
          <w:sz w:val="22"/>
          <w:szCs w:val="22"/>
        </w:rPr>
        <w:t>16.10 – 16.40:     Topic 4: Recognition and enforcement of judgments (substantive rule and grounds for non-recognition and non-enforcement)</w:t>
      </w:r>
    </w:p>
    <w:p w14:paraId="00000080" w14:textId="77777777" w:rsidR="0001123C" w:rsidRPr="0060648C" w:rsidRDefault="0001123C" w:rsidP="0060648C">
      <w:pPr>
        <w:spacing w:line="276" w:lineRule="auto"/>
        <w:contextualSpacing/>
        <w:jc w:val="both"/>
        <w:rPr>
          <w:rFonts w:asciiTheme="minorHAnsi" w:eastAsia="Times New Roman" w:hAnsiTheme="minorHAnsi" w:cstheme="minorHAnsi"/>
          <w:b/>
          <w:color w:val="7030A0"/>
          <w:sz w:val="22"/>
          <w:szCs w:val="22"/>
        </w:rPr>
      </w:pPr>
    </w:p>
    <w:p w14:paraId="00000081" w14:textId="2B15194B" w:rsidR="0001123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b/>
          <w:sz w:val="22"/>
          <w:szCs w:val="22"/>
        </w:rPr>
        <w:t>Mr</w:t>
      </w:r>
      <w:r w:rsidR="006E13D7" w:rsidRPr="0060648C">
        <w:rPr>
          <w:rFonts w:asciiTheme="minorHAnsi" w:eastAsia="Times New Roman" w:hAnsiTheme="minorHAnsi" w:cstheme="minorHAnsi"/>
          <w:b/>
          <w:sz w:val="22"/>
          <w:szCs w:val="22"/>
        </w:rPr>
        <w:t>.</w:t>
      </w:r>
      <w:r w:rsidRPr="0060648C">
        <w:rPr>
          <w:rFonts w:asciiTheme="minorHAnsi" w:eastAsia="Times New Roman" w:hAnsiTheme="minorHAnsi" w:cstheme="minorHAnsi"/>
          <w:b/>
          <w:sz w:val="22"/>
          <w:szCs w:val="22"/>
        </w:rPr>
        <w:t xml:space="preserve"> </w:t>
      </w:r>
      <w:r w:rsidRPr="0060648C">
        <w:rPr>
          <w:rFonts w:asciiTheme="minorHAnsi" w:eastAsia="Times New Roman" w:hAnsiTheme="minorHAnsi" w:cstheme="minorHAnsi"/>
          <w:b/>
          <w:color w:val="000000"/>
          <w:sz w:val="22"/>
          <w:szCs w:val="22"/>
        </w:rPr>
        <w:t xml:space="preserve">Michael Murphy </w:t>
      </w:r>
      <w:r w:rsidRPr="0060648C">
        <w:rPr>
          <w:rFonts w:asciiTheme="minorHAnsi" w:eastAsia="Times New Roman" w:hAnsiTheme="minorHAnsi" w:cstheme="minorHAnsi"/>
          <w:color w:val="000000"/>
          <w:sz w:val="22"/>
          <w:szCs w:val="22"/>
        </w:rPr>
        <w:t xml:space="preserve">and </w:t>
      </w:r>
      <w:r w:rsidRPr="0060648C">
        <w:rPr>
          <w:rFonts w:asciiTheme="minorHAnsi" w:eastAsia="Times New Roman" w:hAnsiTheme="minorHAnsi" w:cstheme="minorHAnsi"/>
          <w:b/>
          <w:sz w:val="22"/>
          <w:szCs w:val="22"/>
        </w:rPr>
        <w:t>Mr</w:t>
      </w:r>
      <w:r w:rsidR="006E13D7" w:rsidRPr="0060648C">
        <w:rPr>
          <w:rFonts w:asciiTheme="minorHAnsi" w:eastAsia="Times New Roman" w:hAnsiTheme="minorHAnsi" w:cstheme="minorHAnsi"/>
          <w:b/>
          <w:sz w:val="22"/>
          <w:szCs w:val="22"/>
        </w:rPr>
        <w:t>.</w:t>
      </w:r>
      <w:r w:rsidRPr="0060648C">
        <w:rPr>
          <w:rFonts w:asciiTheme="minorHAnsi" w:eastAsia="Times New Roman" w:hAnsiTheme="minorHAnsi" w:cstheme="minorHAnsi"/>
          <w:b/>
          <w:sz w:val="22"/>
          <w:szCs w:val="22"/>
        </w:rPr>
        <w:t xml:space="preserve"> </w:t>
      </w:r>
      <w:r w:rsidRPr="0060648C">
        <w:rPr>
          <w:rFonts w:asciiTheme="minorHAnsi" w:eastAsia="Times New Roman" w:hAnsiTheme="minorHAnsi" w:cstheme="minorHAnsi"/>
          <w:b/>
          <w:color w:val="000000"/>
          <w:sz w:val="22"/>
          <w:szCs w:val="22"/>
        </w:rPr>
        <w:t>Joshua Kieran-Glennon</w:t>
      </w:r>
      <w:r w:rsidRPr="0060648C">
        <w:rPr>
          <w:rFonts w:asciiTheme="minorHAnsi" w:eastAsia="Times New Roman" w:hAnsiTheme="minorHAnsi" w:cstheme="minorHAnsi"/>
          <w:color w:val="000000"/>
          <w:sz w:val="22"/>
          <w:szCs w:val="22"/>
        </w:rPr>
        <w:t xml:space="preserve"> (</w:t>
      </w:r>
      <w:r w:rsidRPr="0060648C">
        <w:rPr>
          <w:rFonts w:asciiTheme="minorHAnsi" w:eastAsia="Times New Roman" w:hAnsiTheme="minorHAnsi" w:cstheme="minorHAnsi"/>
          <w:i/>
          <w:color w:val="000000"/>
          <w:sz w:val="22"/>
          <w:szCs w:val="22"/>
        </w:rPr>
        <w:t>McCann Fitzgerald</w:t>
      </w:r>
      <w:r w:rsidRPr="0060648C">
        <w:rPr>
          <w:rFonts w:asciiTheme="minorHAnsi" w:eastAsia="Times New Roman" w:hAnsiTheme="minorHAnsi" w:cstheme="minorHAnsi"/>
          <w:color w:val="000000"/>
          <w:sz w:val="22"/>
          <w:szCs w:val="22"/>
        </w:rPr>
        <w:t xml:space="preserve">) gave an in-depth presentation on the legal and practical issues involved in recognising and enforcing foreign judgements. </w:t>
      </w:r>
      <w:r w:rsidRPr="0060648C">
        <w:rPr>
          <w:rFonts w:asciiTheme="minorHAnsi" w:eastAsia="Times New Roman" w:hAnsiTheme="minorHAnsi" w:cstheme="minorHAnsi"/>
          <w:sz w:val="22"/>
          <w:szCs w:val="22"/>
        </w:rPr>
        <w:t xml:space="preserve">They noted that Ireland is a part of a complex global and European recognition framework and, a result, the topic is better approached through the analysis of these frameworks rather than a comparison with other jurisdictions.  </w:t>
      </w:r>
    </w:p>
    <w:p w14:paraId="561BE4F3" w14:textId="77777777" w:rsidR="0060648C" w:rsidRPr="0060648C" w:rsidRDefault="0060648C" w:rsidP="0060648C">
      <w:pPr>
        <w:spacing w:line="276" w:lineRule="auto"/>
        <w:contextualSpacing/>
        <w:jc w:val="both"/>
        <w:rPr>
          <w:rFonts w:asciiTheme="minorHAnsi" w:eastAsia="Times New Roman" w:hAnsiTheme="minorHAnsi" w:cstheme="minorHAnsi"/>
          <w:b/>
          <w:color w:val="7030A0"/>
          <w:sz w:val="22"/>
          <w:szCs w:val="22"/>
        </w:rPr>
      </w:pPr>
    </w:p>
    <w:p w14:paraId="00000082" w14:textId="77777777" w:rsidR="0001123C" w:rsidRDefault="00000000" w:rsidP="0060648C">
      <w:pPr>
        <w:pBdr>
          <w:top w:val="nil"/>
          <w:left w:val="nil"/>
          <w:bottom w:val="nil"/>
          <w:right w:val="nil"/>
          <w:between w:val="nil"/>
        </w:pBdr>
        <w:spacing w:before="280"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color w:val="000000"/>
          <w:sz w:val="22"/>
          <w:szCs w:val="22"/>
        </w:rPr>
        <w:t xml:space="preserve">Ireland remains a highly regarded destination for litigation and corporate restructuring. A key strength lies in its ability to combine the advantages of EU membership with a robust common law heritage. Within the EU, judgments benefit from near-automatic recognition under the Recast </w:t>
      </w:r>
      <w:r w:rsidRPr="0060648C">
        <w:rPr>
          <w:rFonts w:asciiTheme="minorHAnsi" w:eastAsia="Times New Roman" w:hAnsiTheme="minorHAnsi" w:cstheme="minorHAnsi"/>
          <w:sz w:val="22"/>
          <w:szCs w:val="22"/>
        </w:rPr>
        <w:t>EU Insolvency</w:t>
      </w:r>
      <w:r w:rsidRPr="0060648C">
        <w:rPr>
          <w:rFonts w:asciiTheme="minorHAnsi" w:eastAsia="Times New Roman" w:hAnsiTheme="minorHAnsi" w:cstheme="minorHAnsi"/>
          <w:color w:val="000000"/>
          <w:sz w:val="22"/>
          <w:szCs w:val="22"/>
        </w:rPr>
        <w:t xml:space="preserve"> Regulation</w:t>
      </w:r>
      <w:r w:rsidRPr="0060648C">
        <w:rPr>
          <w:rFonts w:asciiTheme="minorHAnsi" w:eastAsia="Times New Roman" w:hAnsiTheme="minorHAnsi" w:cstheme="minorHAnsi"/>
          <w:sz w:val="22"/>
          <w:szCs w:val="22"/>
        </w:rPr>
        <w:t xml:space="preserve"> which simplifies</w:t>
      </w:r>
      <w:r w:rsidRPr="0060648C">
        <w:rPr>
          <w:rFonts w:asciiTheme="minorHAnsi" w:eastAsia="Times New Roman" w:hAnsiTheme="minorHAnsi" w:cstheme="minorHAnsi"/>
          <w:color w:val="000000"/>
          <w:sz w:val="22"/>
          <w:szCs w:val="22"/>
        </w:rPr>
        <w:t xml:space="preserve"> processes such as the recognition of main and secondary insolvency proceedings and </w:t>
      </w:r>
      <w:r w:rsidRPr="0060648C">
        <w:rPr>
          <w:rFonts w:asciiTheme="minorHAnsi" w:eastAsia="Times New Roman" w:hAnsiTheme="minorHAnsi" w:cstheme="minorHAnsi"/>
          <w:sz w:val="22"/>
          <w:szCs w:val="22"/>
        </w:rPr>
        <w:t>is</w:t>
      </w:r>
      <w:r w:rsidRPr="0060648C">
        <w:rPr>
          <w:rFonts w:asciiTheme="minorHAnsi" w:eastAsia="Times New Roman" w:hAnsiTheme="minorHAnsi" w:cstheme="minorHAnsi"/>
          <w:color w:val="000000"/>
          <w:sz w:val="22"/>
          <w:szCs w:val="22"/>
        </w:rPr>
        <w:t xml:space="preserve"> crucial in facilitating complex cross-border insolvency proceedings within the European Union. </w:t>
      </w:r>
      <w:r w:rsidRPr="0060648C">
        <w:rPr>
          <w:rFonts w:asciiTheme="minorHAnsi" w:eastAsia="Times New Roman" w:hAnsiTheme="minorHAnsi" w:cstheme="minorHAnsi"/>
          <w:sz w:val="22"/>
          <w:szCs w:val="22"/>
        </w:rPr>
        <w:t>Thereby, the</w:t>
      </w:r>
      <w:r w:rsidRPr="0060648C">
        <w:rPr>
          <w:rFonts w:asciiTheme="minorHAnsi" w:eastAsia="Times New Roman" w:hAnsiTheme="minorHAnsi" w:cstheme="minorHAnsi"/>
          <w:color w:val="000000"/>
          <w:sz w:val="22"/>
          <w:szCs w:val="22"/>
        </w:rPr>
        <w:t xml:space="preserve"> Centre of Main Interests (COMI)</w:t>
      </w:r>
      <w:r w:rsidRPr="0060648C">
        <w:rPr>
          <w:rFonts w:asciiTheme="minorHAnsi" w:eastAsia="Times New Roman" w:hAnsiTheme="minorHAnsi" w:cstheme="minorHAnsi"/>
          <w:sz w:val="22"/>
          <w:szCs w:val="22"/>
        </w:rPr>
        <w:t xml:space="preserve"> plays a central role, as it</w:t>
      </w:r>
      <w:r w:rsidRPr="0060648C">
        <w:rPr>
          <w:rFonts w:asciiTheme="minorHAnsi" w:eastAsia="Times New Roman" w:hAnsiTheme="minorHAnsi" w:cstheme="minorHAnsi"/>
          <w:color w:val="000000"/>
          <w:sz w:val="22"/>
          <w:szCs w:val="22"/>
        </w:rPr>
        <w:t xml:space="preserve"> determines the jurisdiction in which main insolvency proceedings should be opened. </w:t>
      </w:r>
      <w:r w:rsidRPr="0060648C">
        <w:rPr>
          <w:rFonts w:asciiTheme="minorHAnsi" w:eastAsia="Times New Roman" w:hAnsiTheme="minorHAnsi" w:cstheme="minorHAnsi"/>
          <w:sz w:val="22"/>
          <w:szCs w:val="22"/>
        </w:rPr>
        <w:t>Once insolvency proceedings have been opened based on the debtor’s COMI, they are automatically recognised by the courts of other EU Member States.</w:t>
      </w:r>
    </w:p>
    <w:p w14:paraId="7DF6364D" w14:textId="77777777" w:rsidR="0060648C" w:rsidRPr="0060648C" w:rsidRDefault="0060648C" w:rsidP="0060648C">
      <w:pPr>
        <w:pBdr>
          <w:top w:val="nil"/>
          <w:left w:val="nil"/>
          <w:bottom w:val="nil"/>
          <w:right w:val="nil"/>
          <w:between w:val="nil"/>
        </w:pBdr>
        <w:spacing w:before="280" w:line="276" w:lineRule="auto"/>
        <w:contextualSpacing/>
        <w:jc w:val="both"/>
        <w:rPr>
          <w:rFonts w:asciiTheme="minorHAnsi" w:eastAsia="Times New Roman" w:hAnsiTheme="minorHAnsi" w:cstheme="minorHAnsi"/>
          <w:color w:val="000000"/>
          <w:sz w:val="22"/>
          <w:szCs w:val="22"/>
        </w:rPr>
      </w:pPr>
    </w:p>
    <w:p w14:paraId="00000083" w14:textId="22D4627E" w:rsidR="0001123C" w:rsidRDefault="00000000" w:rsidP="0060648C">
      <w:pPr>
        <w:pBdr>
          <w:top w:val="nil"/>
          <w:left w:val="nil"/>
          <w:bottom w:val="nil"/>
          <w:right w:val="nil"/>
          <w:between w:val="nil"/>
        </w:pBdr>
        <w:spacing w:before="280" w:line="276" w:lineRule="auto"/>
        <w:contextualSpacing/>
        <w:jc w:val="both"/>
        <w:rPr>
          <w:rFonts w:asciiTheme="minorHAnsi" w:eastAsia="Times New Roman" w:hAnsiTheme="minorHAnsi" w:cstheme="minorHAnsi"/>
          <w:color w:val="000000"/>
          <w:sz w:val="22"/>
          <w:szCs w:val="22"/>
        </w:rPr>
      </w:pPr>
      <w:r w:rsidRPr="0060648C">
        <w:rPr>
          <w:rFonts w:asciiTheme="minorHAnsi" w:eastAsia="Times New Roman" w:hAnsiTheme="minorHAnsi" w:cstheme="minorHAnsi"/>
          <w:color w:val="000000"/>
          <w:sz w:val="22"/>
          <w:szCs w:val="22"/>
        </w:rPr>
        <w:t xml:space="preserve">Ireland has made effective and strategic use of </w:t>
      </w:r>
      <w:r w:rsidRPr="0060648C">
        <w:rPr>
          <w:rFonts w:asciiTheme="minorHAnsi" w:eastAsia="Times New Roman" w:hAnsiTheme="minorHAnsi" w:cstheme="minorHAnsi"/>
          <w:sz w:val="22"/>
          <w:szCs w:val="22"/>
        </w:rPr>
        <w:t>the</w:t>
      </w:r>
      <w:r w:rsidRPr="0060648C">
        <w:rPr>
          <w:rFonts w:asciiTheme="minorHAnsi" w:eastAsia="Times New Roman" w:hAnsiTheme="minorHAnsi" w:cstheme="minorHAnsi"/>
          <w:color w:val="000000"/>
          <w:sz w:val="22"/>
          <w:szCs w:val="22"/>
        </w:rPr>
        <w:t xml:space="preserve"> </w:t>
      </w:r>
      <w:r w:rsidRPr="0060648C">
        <w:rPr>
          <w:rFonts w:asciiTheme="minorHAnsi" w:eastAsia="Times New Roman" w:hAnsiTheme="minorHAnsi" w:cstheme="minorHAnsi"/>
          <w:sz w:val="22"/>
          <w:szCs w:val="22"/>
        </w:rPr>
        <w:t>R</w:t>
      </w:r>
      <w:r w:rsidRPr="0060648C">
        <w:rPr>
          <w:rFonts w:asciiTheme="minorHAnsi" w:eastAsia="Times New Roman" w:hAnsiTheme="minorHAnsi" w:cstheme="minorHAnsi"/>
          <w:color w:val="000000"/>
          <w:sz w:val="22"/>
          <w:szCs w:val="22"/>
        </w:rPr>
        <w:t>egulation, establishing itself as an attractive location for cross-border restructuring.</w:t>
      </w:r>
      <w:r w:rsidRPr="0060648C">
        <w:rPr>
          <w:rFonts w:asciiTheme="minorHAnsi" w:eastAsia="Times New Roman" w:hAnsiTheme="minorHAnsi" w:cstheme="minorHAnsi"/>
          <w:sz w:val="22"/>
          <w:szCs w:val="22"/>
        </w:rPr>
        <w:t xml:space="preserve"> Additionally, </w:t>
      </w:r>
      <w:r w:rsidRPr="0060648C">
        <w:rPr>
          <w:rFonts w:asciiTheme="minorHAnsi" w:eastAsia="Times New Roman" w:hAnsiTheme="minorHAnsi" w:cstheme="minorHAnsi"/>
          <w:color w:val="000000"/>
          <w:sz w:val="22"/>
          <w:szCs w:val="22"/>
        </w:rPr>
        <w:t>Ireland is one of the few EU countries that can rely on Section 426 of the UK's Insolvency Act 1986, which permits formal cooperation between Irish and UK courts in insolvency cases. This provision designates certain jurisdictions — mainly common law countries — for reciprocal assistance. Consequently, Irish courts can continue to cooperate directly with UK insolvency proceedings even after Brexit, unlike most other EU Member States</w:t>
      </w:r>
      <w:r w:rsidR="0060648C">
        <w:rPr>
          <w:rFonts w:asciiTheme="minorHAnsi" w:eastAsia="Times New Roman" w:hAnsiTheme="minorHAnsi" w:cstheme="minorHAnsi"/>
          <w:color w:val="000000"/>
          <w:sz w:val="22"/>
          <w:szCs w:val="22"/>
        </w:rPr>
        <w:t>,</w:t>
      </w:r>
      <w:r w:rsidRPr="0060648C">
        <w:rPr>
          <w:rFonts w:asciiTheme="minorHAnsi" w:eastAsia="Times New Roman" w:hAnsiTheme="minorHAnsi" w:cstheme="minorHAnsi"/>
          <w:color w:val="000000"/>
          <w:sz w:val="22"/>
          <w:szCs w:val="22"/>
        </w:rPr>
        <w:t xml:space="preserve"> which lost the benefit of automatic recognition mechanisms previously available under EU law. </w:t>
      </w:r>
    </w:p>
    <w:p w14:paraId="6BE1E3BA" w14:textId="77777777" w:rsidR="0060648C" w:rsidRPr="0060648C" w:rsidRDefault="0060648C" w:rsidP="0060648C">
      <w:pPr>
        <w:pBdr>
          <w:top w:val="nil"/>
          <w:left w:val="nil"/>
          <w:bottom w:val="nil"/>
          <w:right w:val="nil"/>
          <w:between w:val="nil"/>
        </w:pBdr>
        <w:spacing w:before="280" w:line="276" w:lineRule="auto"/>
        <w:contextualSpacing/>
        <w:jc w:val="both"/>
        <w:rPr>
          <w:rFonts w:asciiTheme="minorHAnsi" w:eastAsia="Times New Roman" w:hAnsiTheme="minorHAnsi" w:cstheme="minorHAnsi"/>
          <w:color w:val="000000"/>
          <w:sz w:val="22"/>
          <w:szCs w:val="22"/>
        </w:rPr>
      </w:pPr>
    </w:p>
    <w:p w14:paraId="00000085" w14:textId="5A92D306" w:rsidR="0001123C" w:rsidRPr="0060648C" w:rsidRDefault="00000000" w:rsidP="0060648C">
      <w:pPr>
        <w:pBdr>
          <w:top w:val="nil"/>
          <w:left w:val="nil"/>
          <w:bottom w:val="nil"/>
          <w:right w:val="nil"/>
          <w:between w:val="nil"/>
        </w:pBdr>
        <w:spacing w:before="280"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color w:val="000000"/>
          <w:sz w:val="22"/>
          <w:szCs w:val="22"/>
        </w:rPr>
        <w:t>Ireland also supports modern restructuring tools, such as examinership, and has proven highly receptive to cross-border recognition requests under Chapter 15 of the US Bankruptcy Code, which facilitates the recognition of foreign insolvency proceedings in the US. There is also ongoing discussion about recognising US Chapter 11 processes in Ireland, with the courts exploring parallel procedural models to give effect to such schemes — an approach that is considered to be niche, but effective.</w:t>
      </w:r>
    </w:p>
    <w:p w14:paraId="25483C40" w14:textId="77777777" w:rsidR="0060648C" w:rsidRPr="0060648C" w:rsidRDefault="0060648C" w:rsidP="0060648C">
      <w:pPr>
        <w:pBdr>
          <w:top w:val="nil"/>
          <w:left w:val="nil"/>
          <w:bottom w:val="nil"/>
          <w:right w:val="nil"/>
          <w:between w:val="nil"/>
        </w:pBdr>
        <w:spacing w:before="280" w:line="276" w:lineRule="auto"/>
        <w:contextualSpacing/>
        <w:jc w:val="both"/>
        <w:rPr>
          <w:rFonts w:asciiTheme="minorHAnsi" w:eastAsia="Times New Roman" w:hAnsiTheme="minorHAnsi" w:cstheme="minorHAnsi"/>
          <w:sz w:val="22"/>
          <w:szCs w:val="22"/>
        </w:rPr>
      </w:pPr>
    </w:p>
    <w:p w14:paraId="5E74AE18" w14:textId="3D47B5F8" w:rsidR="0060648C" w:rsidRPr="0060648C" w:rsidRDefault="00000000" w:rsidP="0060648C">
      <w:pPr>
        <w:spacing w:line="276" w:lineRule="auto"/>
        <w:contextualSpacing/>
        <w:jc w:val="both"/>
        <w:rPr>
          <w:rFonts w:asciiTheme="minorHAnsi" w:eastAsia="Times New Roman" w:hAnsiTheme="minorHAnsi" w:cstheme="minorHAnsi"/>
          <w:color w:val="000000"/>
          <w:sz w:val="22"/>
          <w:szCs w:val="22"/>
        </w:rPr>
      </w:pPr>
      <w:r w:rsidRPr="0060648C">
        <w:rPr>
          <w:rFonts w:asciiTheme="minorHAnsi" w:eastAsia="Times New Roman" w:hAnsiTheme="minorHAnsi" w:cstheme="minorHAnsi"/>
          <w:color w:val="000000"/>
          <w:sz w:val="22"/>
          <w:szCs w:val="22"/>
        </w:rPr>
        <w:t>The speakers emphasised that there is no single global approach to the recognition of foreign judgments. Instead, several overlapping systems exist, including multilateral agreements, domestic legal principles and unique regional practices</w:t>
      </w:r>
      <w:r w:rsidRPr="0060648C">
        <w:rPr>
          <w:rFonts w:asciiTheme="minorHAnsi" w:eastAsia="Times New Roman" w:hAnsiTheme="minorHAnsi" w:cstheme="minorHAnsi"/>
          <w:sz w:val="22"/>
          <w:szCs w:val="22"/>
        </w:rPr>
        <w:t xml:space="preserve">. </w:t>
      </w:r>
      <w:r w:rsidRPr="0060648C">
        <w:rPr>
          <w:rFonts w:asciiTheme="minorHAnsi" w:eastAsia="Times New Roman" w:hAnsiTheme="minorHAnsi" w:cstheme="minorHAnsi"/>
          <w:color w:val="000000"/>
          <w:sz w:val="22"/>
          <w:szCs w:val="22"/>
        </w:rPr>
        <w:t>Where no treaty or regulation applies, common law serves as a fallback. In both Ireland and the UK, courts generally enforce foreign judgments that are final and conclusive for a definite monetary sum.</w:t>
      </w:r>
      <w:r w:rsidRPr="0060648C">
        <w:rPr>
          <w:rFonts w:asciiTheme="minorHAnsi" w:eastAsia="Times New Roman" w:hAnsiTheme="minorHAnsi" w:cstheme="minorHAnsi"/>
          <w:sz w:val="22"/>
          <w:szCs w:val="22"/>
        </w:rPr>
        <w:t xml:space="preserve"> </w:t>
      </w:r>
      <w:r w:rsidRPr="0060648C">
        <w:rPr>
          <w:rFonts w:asciiTheme="minorHAnsi" w:eastAsia="Times New Roman" w:hAnsiTheme="minorHAnsi" w:cstheme="minorHAnsi"/>
          <w:color w:val="000000"/>
          <w:sz w:val="22"/>
          <w:szCs w:val="22"/>
        </w:rPr>
        <w:t>Irish courts adopt a measured and restrained approach when considering whether to refuse recognition of a foreign judgment. Refusals are generally limited to cases involving a clear violation of public policy, and such grounds are interpreted narrowly and cautiously.</w:t>
      </w:r>
    </w:p>
    <w:p w14:paraId="00000087" w14:textId="77777777" w:rsidR="0001123C" w:rsidRPr="0060648C" w:rsidRDefault="0001123C" w:rsidP="0060648C">
      <w:pPr>
        <w:spacing w:line="276" w:lineRule="auto"/>
        <w:contextualSpacing/>
        <w:jc w:val="both"/>
        <w:rPr>
          <w:rFonts w:asciiTheme="minorHAnsi" w:eastAsia="Times New Roman" w:hAnsiTheme="minorHAnsi" w:cstheme="minorHAnsi"/>
          <w:sz w:val="22"/>
          <w:szCs w:val="22"/>
        </w:rPr>
      </w:pPr>
    </w:p>
    <w:p w14:paraId="00000088" w14:textId="77777777" w:rsidR="0001123C" w:rsidRPr="0060648C" w:rsidRDefault="00000000" w:rsidP="0060648C">
      <w:pPr>
        <w:spacing w:line="276" w:lineRule="auto"/>
        <w:contextualSpacing/>
        <w:jc w:val="both"/>
        <w:rPr>
          <w:rFonts w:asciiTheme="minorHAnsi" w:eastAsia="Times New Roman" w:hAnsiTheme="minorHAnsi" w:cstheme="minorHAnsi"/>
          <w:color w:val="000000"/>
          <w:sz w:val="22"/>
          <w:szCs w:val="22"/>
        </w:rPr>
      </w:pPr>
      <w:r w:rsidRPr="0060648C">
        <w:rPr>
          <w:rFonts w:asciiTheme="minorHAnsi" w:eastAsia="Times New Roman" w:hAnsiTheme="minorHAnsi" w:cstheme="minorHAnsi"/>
          <w:color w:val="000000"/>
          <w:sz w:val="22"/>
          <w:szCs w:val="22"/>
        </w:rPr>
        <w:t xml:space="preserve">In contrast, the UK’s accession to the Hague Judgments Convention has introduced a new, albeit somewhat uncertain, recognition framework. While the Convention aims to promote the recognition and enforcement of judgments across </w:t>
      </w:r>
      <w:r w:rsidRPr="0060648C">
        <w:rPr>
          <w:rFonts w:asciiTheme="minorHAnsi" w:eastAsia="Times New Roman" w:hAnsiTheme="minorHAnsi" w:cstheme="minorHAnsi"/>
          <w:sz w:val="22"/>
          <w:szCs w:val="22"/>
        </w:rPr>
        <w:t>C</w:t>
      </w:r>
      <w:r w:rsidRPr="0060648C">
        <w:rPr>
          <w:rFonts w:asciiTheme="minorHAnsi" w:eastAsia="Times New Roman" w:hAnsiTheme="minorHAnsi" w:cstheme="minorHAnsi"/>
          <w:color w:val="000000"/>
          <w:sz w:val="22"/>
          <w:szCs w:val="22"/>
        </w:rPr>
        <w:t xml:space="preserve">ontracting </w:t>
      </w:r>
      <w:r w:rsidRPr="0060648C">
        <w:rPr>
          <w:rFonts w:asciiTheme="minorHAnsi" w:eastAsia="Times New Roman" w:hAnsiTheme="minorHAnsi" w:cstheme="minorHAnsi"/>
          <w:sz w:val="22"/>
          <w:szCs w:val="22"/>
        </w:rPr>
        <w:t>S</w:t>
      </w:r>
      <w:r w:rsidRPr="0060648C">
        <w:rPr>
          <w:rFonts w:asciiTheme="minorHAnsi" w:eastAsia="Times New Roman" w:hAnsiTheme="minorHAnsi" w:cstheme="minorHAnsi"/>
          <w:color w:val="000000"/>
          <w:sz w:val="22"/>
          <w:szCs w:val="22"/>
        </w:rPr>
        <w:t xml:space="preserve">tates, it provides less coverage than the </w:t>
      </w:r>
      <w:r w:rsidRPr="0060648C">
        <w:rPr>
          <w:rFonts w:asciiTheme="minorHAnsi" w:eastAsia="Times New Roman" w:hAnsiTheme="minorHAnsi" w:cstheme="minorHAnsi"/>
          <w:sz w:val="22"/>
          <w:szCs w:val="22"/>
        </w:rPr>
        <w:t>EU insolvency</w:t>
      </w:r>
      <w:r w:rsidRPr="0060648C">
        <w:rPr>
          <w:rFonts w:asciiTheme="minorHAnsi" w:eastAsia="Times New Roman" w:hAnsiTheme="minorHAnsi" w:cstheme="minorHAnsi"/>
          <w:color w:val="000000"/>
          <w:sz w:val="22"/>
          <w:szCs w:val="22"/>
        </w:rPr>
        <w:t xml:space="preserve"> regime. Notably, it excludes interim relief, such as injunctions, and it may encounter interpretative issues as courts begin to apply it.</w:t>
      </w:r>
    </w:p>
    <w:p w14:paraId="00000089" w14:textId="77777777" w:rsidR="0001123C" w:rsidRPr="0060648C" w:rsidRDefault="0001123C" w:rsidP="0060648C">
      <w:pPr>
        <w:spacing w:line="276" w:lineRule="auto"/>
        <w:contextualSpacing/>
        <w:jc w:val="both"/>
        <w:rPr>
          <w:rFonts w:asciiTheme="minorHAnsi" w:eastAsia="Times New Roman" w:hAnsiTheme="minorHAnsi" w:cstheme="minorHAnsi"/>
          <w:sz w:val="22"/>
          <w:szCs w:val="22"/>
        </w:rPr>
      </w:pPr>
    </w:p>
    <w:p w14:paraId="0000008A" w14:textId="77777777" w:rsidR="0001123C" w:rsidRPr="0060648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color w:val="000000"/>
          <w:sz w:val="22"/>
          <w:szCs w:val="22"/>
        </w:rPr>
        <w:t xml:space="preserve">In the United States, New York law (CPLR) provides for the recognition of foreign judgments irrespective of the jurisdiction of origin. However, the process </w:t>
      </w:r>
      <w:r w:rsidRPr="0060648C">
        <w:rPr>
          <w:rFonts w:asciiTheme="minorHAnsi" w:eastAsia="Times New Roman" w:hAnsiTheme="minorHAnsi" w:cstheme="minorHAnsi"/>
          <w:sz w:val="22"/>
          <w:szCs w:val="22"/>
        </w:rPr>
        <w:t>may</w:t>
      </w:r>
      <w:r w:rsidRPr="0060648C">
        <w:rPr>
          <w:rFonts w:asciiTheme="minorHAnsi" w:eastAsia="Times New Roman" w:hAnsiTheme="minorHAnsi" w:cstheme="minorHAnsi"/>
          <w:color w:val="000000"/>
          <w:sz w:val="22"/>
          <w:szCs w:val="22"/>
        </w:rPr>
        <w:t xml:space="preserve"> involve litigation risks and potential delays, particularly if the debtor raises procedural or substantive defences to enforcement.</w:t>
      </w:r>
    </w:p>
    <w:p w14:paraId="0000008B" w14:textId="77777777" w:rsidR="0001123C" w:rsidRPr="0060648C" w:rsidRDefault="0001123C" w:rsidP="0060648C">
      <w:pPr>
        <w:spacing w:line="276" w:lineRule="auto"/>
        <w:contextualSpacing/>
        <w:jc w:val="both"/>
        <w:rPr>
          <w:rFonts w:asciiTheme="minorHAnsi" w:eastAsia="Times New Roman" w:hAnsiTheme="minorHAnsi" w:cstheme="minorHAnsi"/>
          <w:sz w:val="22"/>
          <w:szCs w:val="22"/>
        </w:rPr>
      </w:pPr>
    </w:p>
    <w:p w14:paraId="0000008C" w14:textId="77777777" w:rsidR="0001123C" w:rsidRPr="0060648C" w:rsidRDefault="00000000" w:rsidP="0060648C">
      <w:pPr>
        <w:spacing w:line="276" w:lineRule="auto"/>
        <w:contextualSpacing/>
        <w:jc w:val="both"/>
        <w:rPr>
          <w:rFonts w:asciiTheme="minorHAnsi" w:eastAsia="Times New Roman" w:hAnsiTheme="minorHAnsi" w:cstheme="minorHAnsi"/>
          <w:color w:val="000000"/>
          <w:sz w:val="22"/>
          <w:szCs w:val="22"/>
        </w:rPr>
      </w:pPr>
      <w:r w:rsidRPr="0060648C">
        <w:rPr>
          <w:rFonts w:asciiTheme="minorHAnsi" w:eastAsia="Times New Roman" w:hAnsiTheme="minorHAnsi" w:cstheme="minorHAnsi"/>
          <w:color w:val="000000"/>
          <w:sz w:val="22"/>
          <w:szCs w:val="22"/>
        </w:rPr>
        <w:t xml:space="preserve">In summary, </w:t>
      </w:r>
      <w:r w:rsidRPr="0060648C">
        <w:rPr>
          <w:rFonts w:asciiTheme="minorHAnsi" w:eastAsia="Times New Roman" w:hAnsiTheme="minorHAnsi" w:cstheme="minorHAnsi"/>
          <w:sz w:val="22"/>
          <w:szCs w:val="22"/>
        </w:rPr>
        <w:t xml:space="preserve">Ireland benefits from a unique combination of a structured EU legal regime and a flexible common law system. This allows it to recognise and enforce foreign judgements across a wide range of jurisdictions. Through EU instruments such as the EU Insolvency Regulation, Ireland participates in a system of automatic recognition of civil and commercial judgements from other EU Member States. At the same time, Irish courts apply well-established common law principles to recognise judgments from outside the EU, such as those from the United States or the UK. Thus, </w:t>
      </w:r>
      <w:r w:rsidRPr="0060648C">
        <w:rPr>
          <w:rFonts w:asciiTheme="minorHAnsi" w:eastAsia="Times New Roman" w:hAnsiTheme="minorHAnsi" w:cstheme="minorHAnsi"/>
          <w:color w:val="000000"/>
          <w:sz w:val="22"/>
          <w:szCs w:val="22"/>
        </w:rPr>
        <w:t xml:space="preserve">Ireland </w:t>
      </w:r>
      <w:r w:rsidRPr="0060648C">
        <w:rPr>
          <w:rFonts w:asciiTheme="minorHAnsi" w:eastAsia="Times New Roman" w:hAnsiTheme="minorHAnsi" w:cstheme="minorHAnsi"/>
          <w:sz w:val="22"/>
          <w:szCs w:val="22"/>
        </w:rPr>
        <w:t>has an</w:t>
      </w:r>
      <w:r w:rsidRPr="0060648C">
        <w:rPr>
          <w:rFonts w:asciiTheme="minorHAnsi" w:eastAsia="Times New Roman" w:hAnsiTheme="minorHAnsi" w:cstheme="minorHAnsi"/>
          <w:color w:val="000000"/>
          <w:sz w:val="22"/>
          <w:szCs w:val="22"/>
        </w:rPr>
        <w:t xml:space="preserve"> advantageous position, combining the certainty of EU regulations with the flexibility and depth of common law principles. This makes its courts particularly well-equipped to enforce foreign judgments across borders. </w:t>
      </w:r>
    </w:p>
    <w:p w14:paraId="0000008D" w14:textId="77777777" w:rsidR="0001123C" w:rsidRPr="0060648C" w:rsidRDefault="0001123C" w:rsidP="0060648C">
      <w:pPr>
        <w:spacing w:line="276" w:lineRule="auto"/>
        <w:contextualSpacing/>
        <w:jc w:val="both"/>
        <w:rPr>
          <w:rFonts w:asciiTheme="minorHAnsi" w:eastAsia="Times New Roman" w:hAnsiTheme="minorHAnsi" w:cstheme="minorHAnsi"/>
          <w:color w:val="000000"/>
          <w:sz w:val="22"/>
          <w:szCs w:val="22"/>
        </w:rPr>
      </w:pPr>
    </w:p>
    <w:p w14:paraId="0000008E" w14:textId="4704101F" w:rsidR="0001123C" w:rsidRPr="0060648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color w:val="000000"/>
          <w:sz w:val="22"/>
          <w:szCs w:val="22"/>
        </w:rPr>
        <w:t>The session concluded with</w:t>
      </w:r>
      <w:r w:rsidR="0060648C" w:rsidRPr="0060648C">
        <w:rPr>
          <w:rFonts w:asciiTheme="minorHAnsi" w:eastAsia="Times New Roman" w:hAnsiTheme="minorHAnsi" w:cstheme="minorHAnsi"/>
          <w:color w:val="000000"/>
          <w:sz w:val="22"/>
          <w:szCs w:val="22"/>
        </w:rPr>
        <w:t xml:space="preserve"> </w:t>
      </w:r>
      <w:r w:rsidR="00AB2B70">
        <w:rPr>
          <w:rFonts w:asciiTheme="minorHAnsi" w:eastAsia="Times New Roman" w:hAnsiTheme="minorHAnsi" w:cstheme="minorHAnsi"/>
          <w:color w:val="000000"/>
          <w:sz w:val="22"/>
          <w:szCs w:val="22"/>
        </w:rPr>
        <w:t>Prof</w:t>
      </w:r>
      <w:r w:rsidR="0060648C" w:rsidRPr="0060648C">
        <w:rPr>
          <w:rFonts w:asciiTheme="minorHAnsi" w:eastAsia="Times New Roman" w:hAnsiTheme="minorHAnsi" w:cstheme="minorHAnsi"/>
          <w:color w:val="000000"/>
          <w:sz w:val="22"/>
          <w:szCs w:val="22"/>
        </w:rPr>
        <w:t>.</w:t>
      </w:r>
      <w:r w:rsidRPr="0060648C">
        <w:rPr>
          <w:rFonts w:asciiTheme="minorHAnsi" w:eastAsia="Times New Roman" w:hAnsiTheme="minorHAnsi" w:cstheme="minorHAnsi"/>
          <w:color w:val="000000"/>
          <w:sz w:val="22"/>
          <w:szCs w:val="22"/>
        </w:rPr>
        <w:t xml:space="preserve"> Wool</w:t>
      </w:r>
      <w:r w:rsidRPr="0060648C">
        <w:rPr>
          <w:rFonts w:asciiTheme="minorHAnsi" w:eastAsia="Times New Roman" w:hAnsiTheme="minorHAnsi" w:cstheme="minorHAnsi"/>
          <w:b/>
          <w:color w:val="000000"/>
          <w:sz w:val="22"/>
          <w:szCs w:val="22"/>
        </w:rPr>
        <w:t xml:space="preserve"> </w:t>
      </w:r>
      <w:r w:rsidRPr="0060648C">
        <w:rPr>
          <w:rFonts w:asciiTheme="minorHAnsi" w:eastAsia="Times New Roman" w:hAnsiTheme="minorHAnsi" w:cstheme="minorHAnsi"/>
          <w:color w:val="000000"/>
          <w:sz w:val="22"/>
          <w:szCs w:val="22"/>
        </w:rPr>
        <w:t xml:space="preserve">making a brief remark about the </w:t>
      </w:r>
      <w:r w:rsidRPr="005A5534">
        <w:rPr>
          <w:rFonts w:asciiTheme="minorHAnsi" w:eastAsia="Times New Roman" w:hAnsiTheme="minorHAnsi" w:cstheme="minorHAnsi"/>
          <w:i/>
          <w:iCs/>
          <w:color w:val="000000"/>
          <w:sz w:val="22"/>
          <w:szCs w:val="22"/>
        </w:rPr>
        <w:t>Cape Town Convention</w:t>
      </w:r>
      <w:r w:rsidRPr="0060648C">
        <w:rPr>
          <w:rFonts w:asciiTheme="minorHAnsi" w:eastAsia="Times New Roman" w:hAnsiTheme="minorHAnsi" w:cstheme="minorHAnsi"/>
          <w:color w:val="000000"/>
          <w:sz w:val="22"/>
          <w:szCs w:val="22"/>
        </w:rPr>
        <w:t xml:space="preserve"> and highlighting its growing relevance in cross-border asset financing and insolvency.</w:t>
      </w:r>
    </w:p>
    <w:p w14:paraId="22BDAB86" w14:textId="77777777" w:rsidR="005A5534" w:rsidRPr="0060648C" w:rsidRDefault="005A5534" w:rsidP="0060648C">
      <w:pPr>
        <w:spacing w:line="276" w:lineRule="auto"/>
        <w:contextualSpacing/>
        <w:jc w:val="both"/>
        <w:rPr>
          <w:rFonts w:asciiTheme="minorHAnsi" w:eastAsia="Times New Roman" w:hAnsiTheme="minorHAnsi" w:cstheme="minorHAnsi"/>
          <w:b/>
          <w:sz w:val="22"/>
          <w:szCs w:val="22"/>
        </w:rPr>
      </w:pPr>
    </w:p>
    <w:p w14:paraId="00000091" w14:textId="77777777" w:rsidR="0001123C" w:rsidRPr="0060648C" w:rsidRDefault="00000000" w:rsidP="0060648C">
      <w:pPr>
        <w:spacing w:line="276" w:lineRule="auto"/>
        <w:contextualSpacing/>
        <w:jc w:val="both"/>
        <w:rPr>
          <w:rFonts w:asciiTheme="minorHAnsi" w:eastAsia="Times New Roman" w:hAnsiTheme="minorHAnsi" w:cstheme="minorHAnsi"/>
          <w:b/>
        </w:rPr>
      </w:pPr>
      <w:r w:rsidRPr="0060648C">
        <w:rPr>
          <w:rFonts w:asciiTheme="minorHAnsi" w:eastAsia="Times New Roman" w:hAnsiTheme="minorHAnsi" w:cstheme="minorHAnsi"/>
          <w:b/>
        </w:rPr>
        <w:t>Final remarks</w:t>
      </w:r>
    </w:p>
    <w:p w14:paraId="00000092" w14:textId="77777777" w:rsidR="0001123C" w:rsidRPr="0060648C" w:rsidRDefault="0001123C" w:rsidP="0060648C">
      <w:pPr>
        <w:spacing w:line="276" w:lineRule="auto"/>
        <w:contextualSpacing/>
        <w:jc w:val="both"/>
        <w:rPr>
          <w:rFonts w:asciiTheme="minorHAnsi" w:eastAsia="Times New Roman" w:hAnsiTheme="minorHAnsi" w:cstheme="minorHAnsi"/>
          <w:b/>
          <w:sz w:val="22"/>
          <w:szCs w:val="22"/>
        </w:rPr>
      </w:pPr>
    </w:p>
    <w:p w14:paraId="00000093" w14:textId="77777777" w:rsidR="0001123C" w:rsidRPr="0060648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 xml:space="preserve">This symposium, hosted by </w:t>
      </w:r>
      <w:r w:rsidRPr="0060648C">
        <w:rPr>
          <w:rFonts w:asciiTheme="minorHAnsi" w:eastAsia="Times New Roman" w:hAnsiTheme="minorHAnsi" w:cstheme="minorHAnsi"/>
          <w:i/>
          <w:iCs/>
          <w:sz w:val="22"/>
          <w:szCs w:val="22"/>
        </w:rPr>
        <w:t>Arthur Cox LLP</w:t>
      </w:r>
      <w:r w:rsidRPr="0060648C">
        <w:rPr>
          <w:rFonts w:asciiTheme="minorHAnsi" w:eastAsia="Times New Roman" w:hAnsiTheme="minorHAnsi" w:cstheme="minorHAnsi"/>
          <w:sz w:val="22"/>
          <w:szCs w:val="22"/>
        </w:rPr>
        <w:t xml:space="preserve"> under the auspices of the </w:t>
      </w:r>
      <w:r w:rsidRPr="0060648C">
        <w:rPr>
          <w:rFonts w:asciiTheme="minorHAnsi" w:eastAsia="Times New Roman" w:hAnsiTheme="minorHAnsi" w:cstheme="minorHAnsi"/>
          <w:i/>
          <w:iCs/>
          <w:sz w:val="22"/>
          <w:szCs w:val="22"/>
        </w:rPr>
        <w:t>Transnational Commercial and Leasing Law Project</w:t>
      </w:r>
      <w:r w:rsidRPr="0060648C">
        <w:rPr>
          <w:rFonts w:asciiTheme="minorHAnsi" w:eastAsia="Times New Roman" w:hAnsiTheme="minorHAnsi" w:cstheme="minorHAnsi"/>
          <w:sz w:val="22"/>
          <w:szCs w:val="22"/>
        </w:rPr>
        <w:t>, provided a thought-provoking comparative analysis of international litigation frameworks in Ireland, England and Wales, and New York. The speakers underlined Ireland's leading position in aviation litigation, a status built on deep-seated expertise, as well as a favourable position combining the advantages of the EU regulatory framework with the robust common law tradition.</w:t>
      </w:r>
    </w:p>
    <w:p w14:paraId="00000094" w14:textId="77777777" w:rsidR="0001123C" w:rsidRPr="0060648C" w:rsidRDefault="0001123C" w:rsidP="0060648C">
      <w:pPr>
        <w:spacing w:line="276" w:lineRule="auto"/>
        <w:contextualSpacing/>
        <w:jc w:val="both"/>
        <w:rPr>
          <w:rFonts w:asciiTheme="minorHAnsi" w:eastAsia="Times New Roman" w:hAnsiTheme="minorHAnsi" w:cstheme="minorHAnsi"/>
          <w:sz w:val="22"/>
          <w:szCs w:val="22"/>
        </w:rPr>
      </w:pPr>
    </w:p>
    <w:p w14:paraId="00000095" w14:textId="77777777" w:rsidR="0001123C" w:rsidRPr="0060648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Key takeaways from the sessions include:</w:t>
      </w:r>
    </w:p>
    <w:p w14:paraId="00000096" w14:textId="77777777" w:rsidR="0001123C" w:rsidRPr="0060648C" w:rsidRDefault="0001123C" w:rsidP="0060648C">
      <w:pPr>
        <w:spacing w:line="276" w:lineRule="auto"/>
        <w:contextualSpacing/>
        <w:jc w:val="both"/>
        <w:rPr>
          <w:rFonts w:asciiTheme="minorHAnsi" w:eastAsia="Times New Roman" w:hAnsiTheme="minorHAnsi" w:cstheme="minorHAnsi"/>
          <w:sz w:val="22"/>
          <w:szCs w:val="22"/>
        </w:rPr>
      </w:pPr>
    </w:p>
    <w:p w14:paraId="00000097" w14:textId="33893417" w:rsidR="0001123C" w:rsidRPr="005A5534" w:rsidRDefault="00000000" w:rsidP="005A5534">
      <w:pPr>
        <w:pStyle w:val="ListParagraph"/>
        <w:numPr>
          <w:ilvl w:val="0"/>
          <w:numId w:val="2"/>
        </w:numPr>
        <w:spacing w:line="276" w:lineRule="auto"/>
        <w:jc w:val="both"/>
        <w:rPr>
          <w:rFonts w:asciiTheme="minorHAnsi" w:eastAsia="Times New Roman" w:hAnsiTheme="minorHAnsi" w:cstheme="minorHAnsi"/>
          <w:sz w:val="22"/>
          <w:szCs w:val="22"/>
        </w:rPr>
      </w:pPr>
      <w:r w:rsidRPr="005A5534">
        <w:rPr>
          <w:rFonts w:asciiTheme="minorHAnsi" w:eastAsia="Times New Roman" w:hAnsiTheme="minorHAnsi" w:cstheme="minorHAnsi"/>
          <w:sz w:val="22"/>
          <w:szCs w:val="22"/>
          <w:u w:val="single"/>
        </w:rPr>
        <w:lastRenderedPageBreak/>
        <w:t>Public Access to Court Filings</w:t>
      </w:r>
      <w:r w:rsidRPr="005A5534">
        <w:rPr>
          <w:rFonts w:asciiTheme="minorHAnsi" w:eastAsia="Times New Roman" w:hAnsiTheme="minorHAnsi" w:cstheme="minorHAnsi"/>
          <w:sz w:val="22"/>
          <w:szCs w:val="22"/>
        </w:rPr>
        <w:t>: A notable divergence exists between New York's transparency-oriented system and the more restrictive approaches in Ireland and England, which prioritize litigants’ privacy and grant</w:t>
      </w:r>
      <w:r w:rsidR="00526CAE" w:rsidRPr="005A5534">
        <w:rPr>
          <w:rFonts w:asciiTheme="minorHAnsi" w:eastAsia="Times New Roman" w:hAnsiTheme="minorHAnsi" w:cstheme="minorHAnsi"/>
          <w:sz w:val="22"/>
          <w:szCs w:val="22"/>
        </w:rPr>
        <w:t xml:space="preserve"> </w:t>
      </w:r>
      <w:proofErr w:type="spellStart"/>
      <w:r w:rsidRPr="005A5534">
        <w:rPr>
          <w:rFonts w:asciiTheme="minorHAnsi" w:eastAsia="Times New Roman" w:hAnsiTheme="minorHAnsi" w:cstheme="minorHAnsi"/>
          <w:sz w:val="22"/>
          <w:szCs w:val="22"/>
        </w:rPr>
        <w:t>judges</w:t>
      </w:r>
      <w:proofErr w:type="spellEnd"/>
      <w:r w:rsidR="00526CAE" w:rsidRPr="005A5534">
        <w:rPr>
          <w:rFonts w:asciiTheme="minorHAnsi" w:eastAsia="Times New Roman" w:hAnsiTheme="minorHAnsi" w:cstheme="minorHAnsi"/>
          <w:sz w:val="22"/>
          <w:szCs w:val="22"/>
        </w:rPr>
        <w:t xml:space="preserve"> </w:t>
      </w:r>
      <w:r w:rsidRPr="005A5534">
        <w:rPr>
          <w:rFonts w:asciiTheme="minorHAnsi" w:eastAsia="Times New Roman" w:hAnsiTheme="minorHAnsi" w:cstheme="minorHAnsi"/>
          <w:sz w:val="22"/>
          <w:szCs w:val="22"/>
        </w:rPr>
        <w:t>discretion to grant access. The symposium highlighted the need to modernize access guidelines</w:t>
      </w:r>
      <w:r w:rsidR="00526CAE" w:rsidRPr="005A5534">
        <w:rPr>
          <w:rFonts w:asciiTheme="minorHAnsi" w:eastAsia="Times New Roman" w:hAnsiTheme="minorHAnsi" w:cstheme="minorHAnsi"/>
          <w:sz w:val="22"/>
          <w:szCs w:val="22"/>
        </w:rPr>
        <w:t>,</w:t>
      </w:r>
      <w:r w:rsidRPr="005A5534">
        <w:rPr>
          <w:rFonts w:asciiTheme="minorHAnsi" w:eastAsia="Times New Roman" w:hAnsiTheme="minorHAnsi" w:cstheme="minorHAnsi"/>
          <w:sz w:val="22"/>
          <w:szCs w:val="22"/>
        </w:rPr>
        <w:t xml:space="preserve"> carefully striking a balance between the principles of open justice and privacy while at the same time respecting constitutional mandates. </w:t>
      </w:r>
    </w:p>
    <w:p w14:paraId="00000098" w14:textId="77777777" w:rsidR="0001123C" w:rsidRPr="0060648C" w:rsidRDefault="0001123C" w:rsidP="0060648C">
      <w:pPr>
        <w:spacing w:line="276" w:lineRule="auto"/>
        <w:contextualSpacing/>
        <w:jc w:val="both"/>
        <w:rPr>
          <w:rFonts w:asciiTheme="minorHAnsi" w:eastAsia="Times New Roman" w:hAnsiTheme="minorHAnsi" w:cstheme="minorHAnsi"/>
          <w:sz w:val="22"/>
          <w:szCs w:val="22"/>
        </w:rPr>
      </w:pPr>
    </w:p>
    <w:p w14:paraId="1D4B37BF" w14:textId="77777777" w:rsidR="005A5534" w:rsidRDefault="00000000" w:rsidP="005A5534">
      <w:pPr>
        <w:pStyle w:val="ListParagraph"/>
        <w:numPr>
          <w:ilvl w:val="0"/>
          <w:numId w:val="2"/>
        </w:numPr>
        <w:spacing w:line="276" w:lineRule="auto"/>
        <w:jc w:val="both"/>
        <w:rPr>
          <w:rFonts w:asciiTheme="minorHAnsi" w:eastAsia="Times New Roman" w:hAnsiTheme="minorHAnsi" w:cstheme="minorHAnsi"/>
          <w:sz w:val="22"/>
          <w:szCs w:val="22"/>
        </w:rPr>
      </w:pPr>
      <w:r w:rsidRPr="005A5534">
        <w:rPr>
          <w:rFonts w:asciiTheme="minorHAnsi" w:eastAsia="Times New Roman" w:hAnsiTheme="minorHAnsi" w:cstheme="minorHAnsi"/>
          <w:sz w:val="22"/>
          <w:szCs w:val="22"/>
          <w:u w:val="single"/>
        </w:rPr>
        <w:t>Assignment of Claims</w:t>
      </w:r>
      <w:r w:rsidRPr="005A5534">
        <w:rPr>
          <w:rFonts w:asciiTheme="minorHAnsi" w:eastAsia="Times New Roman" w:hAnsiTheme="minorHAnsi" w:cstheme="minorHAnsi"/>
          <w:sz w:val="22"/>
          <w:szCs w:val="22"/>
        </w:rPr>
        <w:t xml:space="preserve">: The symposium revealed significant jurisdictional differences, with Ireland maintaining the most restrictive stance on maintenance and champerty. English courts will allow assignments based on a </w:t>
      </w:r>
      <w:r w:rsidR="00526CAE" w:rsidRPr="005A5534">
        <w:rPr>
          <w:rFonts w:asciiTheme="minorHAnsi" w:eastAsia="Times New Roman" w:hAnsiTheme="minorHAnsi" w:cstheme="minorHAnsi"/>
          <w:sz w:val="22"/>
          <w:szCs w:val="22"/>
        </w:rPr>
        <w:t>‘</w:t>
      </w:r>
      <w:r w:rsidRPr="005A5534">
        <w:rPr>
          <w:rFonts w:asciiTheme="minorHAnsi" w:eastAsia="Times New Roman" w:hAnsiTheme="minorHAnsi" w:cstheme="minorHAnsi"/>
          <w:sz w:val="22"/>
          <w:szCs w:val="22"/>
        </w:rPr>
        <w:t>genuine commercial interest</w:t>
      </w:r>
      <w:r w:rsidR="00526CAE" w:rsidRPr="005A5534">
        <w:rPr>
          <w:rFonts w:asciiTheme="minorHAnsi" w:eastAsia="Times New Roman" w:hAnsiTheme="minorHAnsi" w:cstheme="minorHAnsi"/>
          <w:sz w:val="22"/>
          <w:szCs w:val="22"/>
        </w:rPr>
        <w:t>’,</w:t>
      </w:r>
      <w:r w:rsidRPr="005A5534">
        <w:rPr>
          <w:rFonts w:asciiTheme="minorHAnsi" w:eastAsia="Times New Roman" w:hAnsiTheme="minorHAnsi" w:cstheme="minorHAnsi"/>
          <w:sz w:val="22"/>
          <w:szCs w:val="22"/>
        </w:rPr>
        <w:t xml:space="preserve"> similarly to New York courts</w:t>
      </w:r>
      <w:r w:rsidR="00526CAE" w:rsidRPr="005A5534">
        <w:rPr>
          <w:rFonts w:asciiTheme="minorHAnsi" w:eastAsia="Times New Roman" w:hAnsiTheme="minorHAnsi" w:cstheme="minorHAnsi"/>
          <w:sz w:val="22"/>
          <w:szCs w:val="22"/>
        </w:rPr>
        <w:t>,</w:t>
      </w:r>
      <w:r w:rsidRPr="005A5534">
        <w:rPr>
          <w:rFonts w:asciiTheme="minorHAnsi" w:eastAsia="Times New Roman" w:hAnsiTheme="minorHAnsi" w:cstheme="minorHAnsi"/>
          <w:sz w:val="22"/>
          <w:szCs w:val="22"/>
        </w:rPr>
        <w:t xml:space="preserve"> </w:t>
      </w:r>
      <w:r w:rsidR="00526CAE" w:rsidRPr="005A5534">
        <w:rPr>
          <w:rFonts w:asciiTheme="minorHAnsi" w:eastAsia="Times New Roman" w:hAnsiTheme="minorHAnsi" w:cstheme="minorHAnsi"/>
          <w:sz w:val="22"/>
          <w:szCs w:val="22"/>
        </w:rPr>
        <w:t xml:space="preserve">which </w:t>
      </w:r>
      <w:r w:rsidRPr="005A5534">
        <w:rPr>
          <w:rFonts w:asciiTheme="minorHAnsi" w:eastAsia="Times New Roman" w:hAnsiTheme="minorHAnsi" w:cstheme="minorHAnsi"/>
          <w:sz w:val="22"/>
          <w:szCs w:val="22"/>
        </w:rPr>
        <w:t xml:space="preserve">will look for </w:t>
      </w:r>
      <w:r w:rsidR="00526CAE" w:rsidRPr="005A5534">
        <w:rPr>
          <w:rFonts w:asciiTheme="minorHAnsi" w:eastAsia="Times New Roman" w:hAnsiTheme="minorHAnsi" w:cstheme="minorHAnsi"/>
          <w:sz w:val="22"/>
          <w:szCs w:val="22"/>
        </w:rPr>
        <w:t>the</w:t>
      </w:r>
      <w:r w:rsidRPr="005A5534">
        <w:rPr>
          <w:rFonts w:asciiTheme="minorHAnsi" w:eastAsia="Times New Roman" w:hAnsiTheme="minorHAnsi" w:cstheme="minorHAnsi"/>
          <w:sz w:val="22"/>
          <w:szCs w:val="22"/>
        </w:rPr>
        <w:t xml:space="preserve"> primary purpose of the assignment. There is consensus that Ireland could benefit from legislative reform which would provide greater clarity and facilitate access to justice.</w:t>
      </w:r>
    </w:p>
    <w:p w14:paraId="69A64C10" w14:textId="77777777" w:rsidR="005A5534" w:rsidRPr="005A5534" w:rsidRDefault="005A5534" w:rsidP="005A5534">
      <w:pPr>
        <w:pStyle w:val="ListParagraph"/>
        <w:rPr>
          <w:rFonts w:asciiTheme="minorHAnsi" w:eastAsia="Times New Roman" w:hAnsiTheme="minorHAnsi" w:cstheme="minorHAnsi"/>
          <w:sz w:val="22"/>
          <w:szCs w:val="22"/>
          <w:u w:val="single"/>
        </w:rPr>
      </w:pPr>
    </w:p>
    <w:p w14:paraId="6A5D0983" w14:textId="77777777" w:rsidR="005A5534" w:rsidRDefault="00000000" w:rsidP="0060648C">
      <w:pPr>
        <w:pStyle w:val="ListParagraph"/>
        <w:numPr>
          <w:ilvl w:val="0"/>
          <w:numId w:val="2"/>
        </w:numPr>
        <w:spacing w:line="276" w:lineRule="auto"/>
        <w:jc w:val="both"/>
        <w:rPr>
          <w:rFonts w:asciiTheme="minorHAnsi" w:eastAsia="Times New Roman" w:hAnsiTheme="minorHAnsi" w:cstheme="minorHAnsi"/>
          <w:sz w:val="22"/>
          <w:szCs w:val="22"/>
        </w:rPr>
      </w:pPr>
      <w:r w:rsidRPr="005A5534">
        <w:rPr>
          <w:rFonts w:asciiTheme="minorHAnsi" w:eastAsia="Times New Roman" w:hAnsiTheme="minorHAnsi" w:cstheme="minorHAnsi"/>
          <w:sz w:val="22"/>
          <w:szCs w:val="22"/>
          <w:u w:val="single"/>
        </w:rPr>
        <w:t>Litigation funding</w:t>
      </w:r>
      <w:r w:rsidRPr="005A5534">
        <w:rPr>
          <w:rFonts w:asciiTheme="minorHAnsi" w:eastAsia="Times New Roman" w:hAnsiTheme="minorHAnsi" w:cstheme="minorHAnsi"/>
          <w:sz w:val="22"/>
          <w:szCs w:val="22"/>
        </w:rPr>
        <w:t>:  The symposium focused on the fundamental tension between promoting access to justice and the historical prohibitions of maintenance and champerty. New York’s market-driven</w:t>
      </w:r>
      <w:r w:rsidR="00526CAE" w:rsidRPr="005A5534">
        <w:rPr>
          <w:rFonts w:asciiTheme="minorHAnsi" w:eastAsia="Times New Roman" w:hAnsiTheme="minorHAnsi" w:cstheme="minorHAnsi"/>
          <w:sz w:val="22"/>
          <w:szCs w:val="22"/>
        </w:rPr>
        <w:t>,</w:t>
      </w:r>
      <w:r w:rsidRPr="005A5534">
        <w:rPr>
          <w:rFonts w:asciiTheme="minorHAnsi" w:eastAsia="Times New Roman" w:hAnsiTheme="minorHAnsi" w:cstheme="minorHAnsi"/>
          <w:sz w:val="22"/>
          <w:szCs w:val="22"/>
        </w:rPr>
        <w:t xml:space="preserve"> lenient approach contrasts with England’s regulatory uncertainty following the PACCAR decision and Ireland’s conservative stance confirmed in the Supreme Court's ruling in Persona. However, recent reforms, such as the legislative carve-out for commercial arbitration and an ongoing Law Reform Commission review, may suggest that Ireland is about to re-evaluate its traditional stance in light of modern commercial needs.</w:t>
      </w:r>
    </w:p>
    <w:p w14:paraId="0E42C96C" w14:textId="77777777" w:rsidR="005A5534" w:rsidRPr="005A5534" w:rsidRDefault="005A5534" w:rsidP="005A5534">
      <w:pPr>
        <w:pStyle w:val="ListParagraph"/>
        <w:rPr>
          <w:rFonts w:asciiTheme="minorHAnsi" w:eastAsia="Times New Roman" w:hAnsiTheme="minorHAnsi" w:cstheme="minorHAnsi"/>
          <w:sz w:val="22"/>
          <w:szCs w:val="22"/>
          <w:u w:val="single"/>
        </w:rPr>
      </w:pPr>
    </w:p>
    <w:p w14:paraId="0000009D" w14:textId="3F95A162" w:rsidR="0001123C" w:rsidRPr="005A5534" w:rsidRDefault="00000000" w:rsidP="0060648C">
      <w:pPr>
        <w:pStyle w:val="ListParagraph"/>
        <w:numPr>
          <w:ilvl w:val="0"/>
          <w:numId w:val="2"/>
        </w:numPr>
        <w:spacing w:line="276" w:lineRule="auto"/>
        <w:jc w:val="both"/>
        <w:rPr>
          <w:rFonts w:asciiTheme="minorHAnsi" w:eastAsia="Times New Roman" w:hAnsiTheme="minorHAnsi" w:cstheme="minorHAnsi"/>
          <w:sz w:val="22"/>
          <w:szCs w:val="22"/>
        </w:rPr>
      </w:pPr>
      <w:r w:rsidRPr="005A5534">
        <w:rPr>
          <w:rFonts w:asciiTheme="minorHAnsi" w:eastAsia="Times New Roman" w:hAnsiTheme="minorHAnsi" w:cstheme="minorHAnsi"/>
          <w:sz w:val="22"/>
          <w:szCs w:val="22"/>
          <w:u w:val="single"/>
        </w:rPr>
        <w:t>Recognition and Enforcement of Judgments</w:t>
      </w:r>
      <w:r w:rsidRPr="005A5534">
        <w:rPr>
          <w:rFonts w:asciiTheme="minorHAnsi" w:eastAsia="Times New Roman" w:hAnsiTheme="minorHAnsi" w:cstheme="minorHAnsi"/>
          <w:sz w:val="22"/>
          <w:szCs w:val="22"/>
        </w:rPr>
        <w:t>: Ireland's unique position merges the benefits of EU-wide automatic recognition mechanisms, such as the Recast EU Insolvency Regulation, with a distinct cooperative relationship with the UK courts post-Brexit. This dual framework, alongside impressive efficiency of Irish judicial processes</w:t>
      </w:r>
      <w:r w:rsidR="00526CAE" w:rsidRPr="005A5534">
        <w:rPr>
          <w:rFonts w:asciiTheme="minorHAnsi" w:eastAsia="Times New Roman" w:hAnsiTheme="minorHAnsi" w:cstheme="minorHAnsi"/>
          <w:sz w:val="22"/>
          <w:szCs w:val="22"/>
        </w:rPr>
        <w:t>,</w:t>
      </w:r>
      <w:r w:rsidRPr="005A5534">
        <w:rPr>
          <w:rFonts w:asciiTheme="minorHAnsi" w:eastAsia="Times New Roman" w:hAnsiTheme="minorHAnsi" w:cstheme="minorHAnsi"/>
          <w:sz w:val="22"/>
          <w:szCs w:val="22"/>
        </w:rPr>
        <w:t xml:space="preserve"> made Ireland a popular choice for cross-border restructuring and insolvency proceedings.</w:t>
      </w:r>
    </w:p>
    <w:p w14:paraId="0000009E" w14:textId="77777777" w:rsidR="0001123C" w:rsidRPr="0060648C" w:rsidRDefault="0001123C" w:rsidP="0060648C">
      <w:pPr>
        <w:spacing w:line="276" w:lineRule="auto"/>
        <w:contextualSpacing/>
        <w:jc w:val="both"/>
        <w:rPr>
          <w:rFonts w:asciiTheme="minorHAnsi" w:eastAsia="Times New Roman" w:hAnsiTheme="minorHAnsi" w:cstheme="minorHAnsi"/>
          <w:sz w:val="22"/>
          <w:szCs w:val="22"/>
        </w:rPr>
      </w:pPr>
    </w:p>
    <w:p w14:paraId="0000009F" w14:textId="1DDC47FD" w:rsidR="0001123C" w:rsidRPr="0060648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 xml:space="preserve">The insights generated from this event will inform the next steps for the </w:t>
      </w:r>
      <w:r w:rsidRPr="0060648C">
        <w:rPr>
          <w:rFonts w:asciiTheme="minorHAnsi" w:eastAsia="Times New Roman" w:hAnsiTheme="minorHAnsi" w:cstheme="minorHAnsi"/>
          <w:i/>
          <w:sz w:val="22"/>
          <w:szCs w:val="22"/>
        </w:rPr>
        <w:t>Transnational Commercial and Leasing Law Project</w:t>
      </w:r>
      <w:r w:rsidRPr="0060648C">
        <w:rPr>
          <w:rFonts w:asciiTheme="minorHAnsi" w:eastAsia="Times New Roman" w:hAnsiTheme="minorHAnsi" w:cstheme="minorHAnsi"/>
          <w:sz w:val="22"/>
          <w:szCs w:val="22"/>
        </w:rPr>
        <w:t>. Future plans include an event focusing on assessing jurisdictional risk and the continued development of legal theory and policy recommendations in transnational commercial law. The ultimate objective is to continue applying a comparative academic method to identify best practices and address common challenges faced by the international legal community.</w:t>
      </w:r>
    </w:p>
    <w:p w14:paraId="000000A0" w14:textId="77777777" w:rsidR="0001123C" w:rsidRPr="0060648C" w:rsidRDefault="0001123C" w:rsidP="0060648C">
      <w:pPr>
        <w:spacing w:line="276" w:lineRule="auto"/>
        <w:contextualSpacing/>
        <w:jc w:val="both"/>
        <w:rPr>
          <w:rFonts w:asciiTheme="minorHAnsi" w:eastAsia="Times New Roman" w:hAnsiTheme="minorHAnsi" w:cstheme="minorHAnsi"/>
          <w:sz w:val="22"/>
          <w:szCs w:val="22"/>
        </w:rPr>
      </w:pPr>
    </w:p>
    <w:p w14:paraId="18660816" w14:textId="14373BCB" w:rsidR="008D6FB4" w:rsidRPr="0060648C" w:rsidRDefault="00000000" w:rsidP="0060648C">
      <w:pPr>
        <w:spacing w:line="276" w:lineRule="auto"/>
        <w:contextualSpacing/>
        <w:jc w:val="both"/>
        <w:rPr>
          <w:rFonts w:asciiTheme="minorHAnsi" w:eastAsia="Times New Roman" w:hAnsiTheme="minorHAnsi" w:cstheme="minorHAnsi"/>
          <w:sz w:val="22"/>
          <w:szCs w:val="22"/>
        </w:rPr>
      </w:pPr>
      <w:r w:rsidRPr="0060648C">
        <w:rPr>
          <w:rFonts w:asciiTheme="minorHAnsi" w:eastAsia="Times New Roman" w:hAnsiTheme="minorHAnsi" w:cstheme="minorHAnsi"/>
          <w:sz w:val="22"/>
          <w:szCs w:val="22"/>
        </w:rPr>
        <w:t xml:space="preserve">This report was completed by the Project </w:t>
      </w:r>
      <w:r w:rsidRPr="0060648C">
        <w:rPr>
          <w:rFonts w:asciiTheme="minorHAnsi" w:eastAsia="Times New Roman" w:hAnsiTheme="minorHAnsi" w:cstheme="minorHAnsi"/>
          <w:sz w:val="22"/>
          <w:szCs w:val="22"/>
          <w:highlight w:val="white"/>
        </w:rPr>
        <w:t xml:space="preserve">Student Associates of the Transnational Commercial and Leasing Law Project. The students are: Keelan Daye, </w:t>
      </w:r>
      <w:proofErr w:type="spellStart"/>
      <w:r w:rsidRPr="0060648C">
        <w:rPr>
          <w:rFonts w:asciiTheme="minorHAnsi" w:eastAsia="Times New Roman" w:hAnsiTheme="minorHAnsi" w:cstheme="minorHAnsi"/>
          <w:sz w:val="22"/>
          <w:szCs w:val="22"/>
          <w:highlight w:val="white"/>
        </w:rPr>
        <w:t>Yunqiu</w:t>
      </w:r>
      <w:proofErr w:type="spellEnd"/>
      <w:r w:rsidRPr="0060648C">
        <w:rPr>
          <w:rFonts w:asciiTheme="minorHAnsi" w:eastAsia="Times New Roman" w:hAnsiTheme="minorHAnsi" w:cstheme="minorHAnsi"/>
          <w:sz w:val="22"/>
          <w:szCs w:val="22"/>
          <w:highlight w:val="white"/>
        </w:rPr>
        <w:t xml:space="preserve"> Ma, </w:t>
      </w:r>
      <w:proofErr w:type="spellStart"/>
      <w:r w:rsidRPr="0060648C">
        <w:rPr>
          <w:rFonts w:asciiTheme="minorHAnsi" w:eastAsia="Times New Roman" w:hAnsiTheme="minorHAnsi" w:cstheme="minorHAnsi"/>
          <w:sz w:val="22"/>
          <w:szCs w:val="22"/>
          <w:highlight w:val="white"/>
        </w:rPr>
        <w:t>Ewhomazin</w:t>
      </w:r>
      <w:r w:rsidR="004A7FAD">
        <w:rPr>
          <w:rFonts w:asciiTheme="minorHAnsi" w:eastAsia="Times New Roman" w:hAnsiTheme="minorHAnsi" w:cstheme="minorHAnsi"/>
          <w:sz w:val="22"/>
          <w:szCs w:val="22"/>
          <w:highlight w:val="white"/>
        </w:rPr>
        <w:t>o</w:t>
      </w:r>
      <w:proofErr w:type="spellEnd"/>
      <w:r w:rsidRPr="0060648C">
        <w:rPr>
          <w:rFonts w:asciiTheme="minorHAnsi" w:eastAsia="Times New Roman" w:hAnsiTheme="minorHAnsi" w:cstheme="minorHAnsi"/>
          <w:sz w:val="22"/>
          <w:szCs w:val="22"/>
          <w:highlight w:val="white"/>
        </w:rPr>
        <w:t xml:space="preserve"> Otuorimuo, Alejandro Fredes, Julia Tomasia</w:t>
      </w:r>
      <w:r w:rsidR="00526CAE">
        <w:rPr>
          <w:rFonts w:asciiTheme="minorHAnsi" w:eastAsia="Times New Roman" w:hAnsiTheme="minorHAnsi" w:cstheme="minorHAnsi"/>
          <w:sz w:val="22"/>
          <w:szCs w:val="22"/>
          <w:highlight w:val="white"/>
        </w:rPr>
        <w:t>k,</w:t>
      </w:r>
      <w:r w:rsidRPr="0060648C">
        <w:rPr>
          <w:rFonts w:asciiTheme="minorHAnsi" w:eastAsia="Times New Roman" w:hAnsiTheme="minorHAnsi" w:cstheme="minorHAnsi"/>
          <w:sz w:val="22"/>
          <w:szCs w:val="22"/>
          <w:highlight w:val="white"/>
        </w:rPr>
        <w:t xml:space="preserve"> and Anna Witte. </w:t>
      </w:r>
      <w:r w:rsidRPr="0060648C">
        <w:rPr>
          <w:rFonts w:asciiTheme="minorHAnsi" w:eastAsia="Times New Roman" w:hAnsiTheme="minorHAnsi" w:cstheme="minorHAnsi"/>
          <w:sz w:val="22"/>
          <w:szCs w:val="22"/>
        </w:rPr>
        <w:t xml:space="preserve">Contributions of Caroline </w:t>
      </w:r>
      <w:r w:rsidR="008260AB">
        <w:rPr>
          <w:rFonts w:asciiTheme="minorHAnsi" w:eastAsia="Times New Roman" w:hAnsiTheme="minorHAnsi" w:cstheme="minorHAnsi"/>
          <w:sz w:val="22"/>
          <w:szCs w:val="22"/>
        </w:rPr>
        <w:t xml:space="preserve">Nolan </w:t>
      </w:r>
      <w:r w:rsidRPr="0060648C">
        <w:rPr>
          <w:rFonts w:asciiTheme="minorHAnsi" w:eastAsia="Times New Roman" w:hAnsiTheme="minorHAnsi" w:cstheme="minorHAnsi"/>
          <w:sz w:val="22"/>
          <w:szCs w:val="22"/>
        </w:rPr>
        <w:t>Fin</w:t>
      </w:r>
      <w:r w:rsidR="008260AB">
        <w:rPr>
          <w:rFonts w:asciiTheme="minorHAnsi" w:eastAsia="Times New Roman" w:hAnsiTheme="minorHAnsi" w:cstheme="minorHAnsi"/>
          <w:sz w:val="22"/>
          <w:szCs w:val="22"/>
        </w:rPr>
        <w:t>n</w:t>
      </w:r>
      <w:r w:rsidRPr="0060648C">
        <w:rPr>
          <w:rFonts w:asciiTheme="minorHAnsi" w:eastAsia="Times New Roman" w:hAnsiTheme="minorHAnsi" w:cstheme="minorHAnsi"/>
          <w:sz w:val="22"/>
          <w:szCs w:val="22"/>
        </w:rPr>
        <w:t xml:space="preserve">egan are acknowledged. </w:t>
      </w:r>
    </w:p>
    <w:p w14:paraId="000000A1" w14:textId="02DED895" w:rsidR="0001123C" w:rsidRDefault="0001123C" w:rsidP="0060648C">
      <w:pPr>
        <w:spacing w:line="276" w:lineRule="auto"/>
        <w:contextualSpacing/>
        <w:jc w:val="both"/>
        <w:rPr>
          <w:rFonts w:ascii="Times New Roman" w:eastAsia="Times New Roman" w:hAnsi="Times New Roman" w:cs="Times New Roman"/>
          <w:sz w:val="22"/>
          <w:szCs w:val="22"/>
        </w:rPr>
      </w:pPr>
    </w:p>
    <w:sectPr w:rsidR="0001123C">
      <w:headerReference w:type="default" r:id="rId13"/>
      <w:pgSz w:w="12240" w:h="15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412D0" w14:textId="77777777" w:rsidR="00F91BE6" w:rsidRDefault="00F91BE6">
      <w:r>
        <w:separator/>
      </w:r>
    </w:p>
  </w:endnote>
  <w:endnote w:type="continuationSeparator" w:id="0">
    <w:p w14:paraId="233B181A" w14:textId="77777777" w:rsidR="00F91BE6" w:rsidRDefault="00F9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6B5FA" w14:textId="77777777" w:rsidR="00F91BE6" w:rsidRDefault="00F91BE6">
      <w:r>
        <w:separator/>
      </w:r>
    </w:p>
  </w:footnote>
  <w:footnote w:type="continuationSeparator" w:id="0">
    <w:p w14:paraId="54C813B5" w14:textId="77777777" w:rsidR="00F91BE6" w:rsidRDefault="00F91BE6">
      <w:r>
        <w:continuationSeparator/>
      </w:r>
    </w:p>
  </w:footnote>
  <w:footnote w:id="1">
    <w:p w14:paraId="7F9B2529" w14:textId="19494612" w:rsidR="00D0077F" w:rsidRPr="00D0077F" w:rsidRDefault="00000000" w:rsidP="008260AB">
      <w:pPr>
        <w:jc w:val="both"/>
        <w:rPr>
          <w:rFonts w:asciiTheme="minorHAnsi" w:eastAsia="Times New Roman" w:hAnsiTheme="minorHAnsi" w:cstheme="minorHAnsi"/>
          <w:color w:val="000000" w:themeColor="text1"/>
          <w:sz w:val="20"/>
          <w:szCs w:val="20"/>
        </w:rPr>
      </w:pPr>
      <w:r w:rsidRPr="008260AB">
        <w:rPr>
          <w:rStyle w:val="FootnoteReference"/>
          <w:rFonts w:asciiTheme="minorHAnsi" w:hAnsiTheme="minorHAnsi" w:cstheme="minorHAnsi"/>
          <w:sz w:val="20"/>
          <w:szCs w:val="20"/>
        </w:rPr>
        <w:footnoteRef/>
      </w:r>
      <w:r w:rsidRPr="008260AB">
        <w:rPr>
          <w:rFonts w:asciiTheme="minorHAnsi" w:eastAsia="Times New Roman" w:hAnsiTheme="minorHAnsi" w:cstheme="minorHAnsi"/>
          <w:sz w:val="20"/>
          <w:szCs w:val="20"/>
        </w:rPr>
        <w:t xml:space="preserve"> </w:t>
      </w:r>
      <w:r w:rsidRPr="008260AB">
        <w:rPr>
          <w:rFonts w:asciiTheme="minorHAnsi" w:eastAsia="Times New Roman" w:hAnsiTheme="minorHAnsi" w:cstheme="minorHAnsi"/>
          <w:color w:val="000000" w:themeColor="text1"/>
          <w:sz w:val="20"/>
          <w:szCs w:val="20"/>
        </w:rPr>
        <w:t xml:space="preserve">This refers to the trial that </w:t>
      </w:r>
      <w:r w:rsidR="00D0077F">
        <w:rPr>
          <w:rFonts w:asciiTheme="minorHAnsi" w:eastAsia="Times New Roman" w:hAnsiTheme="minorHAnsi" w:cstheme="minorHAnsi"/>
          <w:color w:val="000000" w:themeColor="text1"/>
          <w:sz w:val="20"/>
          <w:szCs w:val="20"/>
        </w:rPr>
        <w:t>began</w:t>
      </w:r>
      <w:r w:rsidRPr="008260AB">
        <w:rPr>
          <w:rFonts w:asciiTheme="minorHAnsi" w:eastAsia="Times New Roman" w:hAnsiTheme="minorHAnsi" w:cstheme="minorHAnsi"/>
          <w:color w:val="000000" w:themeColor="text1"/>
          <w:sz w:val="20"/>
          <w:szCs w:val="20"/>
        </w:rPr>
        <w:t xml:space="preserve"> in June 2024 in the High Court of Ireland</w:t>
      </w:r>
      <w:r w:rsidR="00D0077F">
        <w:rPr>
          <w:rFonts w:asciiTheme="minorHAnsi" w:eastAsia="Times New Roman" w:hAnsiTheme="minorHAnsi" w:cstheme="minorHAnsi"/>
          <w:color w:val="000000" w:themeColor="text1"/>
          <w:sz w:val="20"/>
          <w:szCs w:val="20"/>
        </w:rPr>
        <w:t>,</w:t>
      </w:r>
      <w:r w:rsidRPr="008260AB">
        <w:rPr>
          <w:rFonts w:asciiTheme="minorHAnsi" w:eastAsia="Times New Roman" w:hAnsiTheme="minorHAnsi" w:cstheme="minorHAnsi"/>
          <w:color w:val="000000" w:themeColor="text1"/>
          <w:sz w:val="20"/>
          <w:szCs w:val="20"/>
        </w:rPr>
        <w:t xml:space="preserve"> involv</w:t>
      </w:r>
      <w:r w:rsidR="00D0077F">
        <w:rPr>
          <w:rFonts w:asciiTheme="minorHAnsi" w:eastAsia="Times New Roman" w:hAnsiTheme="minorHAnsi" w:cstheme="minorHAnsi"/>
          <w:color w:val="000000" w:themeColor="text1"/>
          <w:sz w:val="20"/>
          <w:szCs w:val="20"/>
        </w:rPr>
        <w:t>ing</w:t>
      </w:r>
      <w:r w:rsidRPr="008260AB">
        <w:rPr>
          <w:rFonts w:asciiTheme="minorHAnsi" w:eastAsia="Times New Roman" w:hAnsiTheme="minorHAnsi" w:cstheme="minorHAnsi"/>
          <w:color w:val="000000" w:themeColor="text1"/>
          <w:sz w:val="20"/>
          <w:szCs w:val="20"/>
        </w:rPr>
        <w:t xml:space="preserve"> claim</w:t>
      </w:r>
      <w:r w:rsidR="00D0077F">
        <w:rPr>
          <w:rFonts w:asciiTheme="minorHAnsi" w:eastAsia="Times New Roman" w:hAnsiTheme="minorHAnsi" w:cstheme="minorHAnsi"/>
          <w:color w:val="000000" w:themeColor="text1"/>
          <w:sz w:val="20"/>
          <w:szCs w:val="20"/>
        </w:rPr>
        <w:t>s</w:t>
      </w:r>
      <w:r w:rsidRPr="008260AB">
        <w:rPr>
          <w:rFonts w:asciiTheme="minorHAnsi" w:eastAsia="Times New Roman" w:hAnsiTheme="minorHAnsi" w:cstheme="minorHAnsi"/>
          <w:color w:val="000000" w:themeColor="text1"/>
          <w:sz w:val="20"/>
          <w:szCs w:val="20"/>
        </w:rPr>
        <w:t xml:space="preserve"> of </w:t>
      </w:r>
      <w:r w:rsidR="00D0077F">
        <w:rPr>
          <w:rFonts w:asciiTheme="minorHAnsi" w:eastAsia="Times New Roman" w:hAnsiTheme="minorHAnsi" w:cstheme="minorHAnsi"/>
          <w:color w:val="000000" w:themeColor="text1"/>
          <w:sz w:val="20"/>
          <w:szCs w:val="20"/>
        </w:rPr>
        <w:t>approximately</w:t>
      </w:r>
      <w:r w:rsidRPr="008260AB">
        <w:rPr>
          <w:rFonts w:asciiTheme="minorHAnsi" w:eastAsia="Times New Roman" w:hAnsiTheme="minorHAnsi" w:cstheme="minorHAnsi"/>
          <w:color w:val="000000" w:themeColor="text1"/>
          <w:sz w:val="20"/>
          <w:szCs w:val="20"/>
        </w:rPr>
        <w:t xml:space="preserve"> €</w:t>
      </w:r>
      <w:r w:rsidR="005A473F">
        <w:rPr>
          <w:rFonts w:asciiTheme="minorHAnsi" w:eastAsia="Times New Roman" w:hAnsiTheme="minorHAnsi" w:cstheme="minorHAnsi"/>
          <w:color w:val="000000" w:themeColor="text1"/>
          <w:sz w:val="20"/>
          <w:szCs w:val="20"/>
        </w:rPr>
        <w:t xml:space="preserve"> </w:t>
      </w:r>
      <w:r w:rsidRPr="008260AB">
        <w:rPr>
          <w:rFonts w:asciiTheme="minorHAnsi" w:eastAsia="Times New Roman" w:hAnsiTheme="minorHAnsi" w:cstheme="minorHAnsi"/>
          <w:color w:val="000000" w:themeColor="text1"/>
          <w:sz w:val="20"/>
          <w:szCs w:val="20"/>
        </w:rPr>
        <w:t xml:space="preserve">2.5 billion. This </w:t>
      </w:r>
      <w:r w:rsidR="00D0077F">
        <w:rPr>
          <w:rFonts w:asciiTheme="minorHAnsi" w:eastAsia="Times New Roman" w:hAnsiTheme="minorHAnsi" w:cstheme="minorHAnsi"/>
          <w:color w:val="000000" w:themeColor="text1"/>
          <w:sz w:val="20"/>
          <w:szCs w:val="20"/>
        </w:rPr>
        <w:t xml:space="preserve">case </w:t>
      </w:r>
      <w:r w:rsidRPr="008260AB">
        <w:rPr>
          <w:rFonts w:asciiTheme="minorHAnsi" w:eastAsia="Times New Roman" w:hAnsiTheme="minorHAnsi" w:cstheme="minorHAnsi"/>
          <w:color w:val="000000" w:themeColor="text1"/>
          <w:sz w:val="20"/>
          <w:szCs w:val="20"/>
        </w:rPr>
        <w:t xml:space="preserve">was </w:t>
      </w:r>
      <w:r w:rsidR="00D0077F">
        <w:rPr>
          <w:rFonts w:asciiTheme="minorHAnsi" w:eastAsia="Times New Roman" w:hAnsiTheme="minorHAnsi" w:cstheme="minorHAnsi"/>
          <w:color w:val="000000" w:themeColor="text1"/>
          <w:sz w:val="20"/>
          <w:szCs w:val="20"/>
        </w:rPr>
        <w:t xml:space="preserve">among </w:t>
      </w:r>
      <w:r w:rsidRPr="008260AB">
        <w:rPr>
          <w:rFonts w:asciiTheme="minorHAnsi" w:eastAsia="Times New Roman" w:hAnsiTheme="minorHAnsi" w:cstheme="minorHAnsi"/>
          <w:color w:val="000000" w:themeColor="text1"/>
          <w:sz w:val="20"/>
          <w:szCs w:val="20"/>
        </w:rPr>
        <w:t>the most high</w:t>
      </w:r>
      <w:r w:rsidR="006B6B15" w:rsidRPr="008260AB">
        <w:rPr>
          <w:rFonts w:asciiTheme="minorHAnsi" w:eastAsia="Times New Roman" w:hAnsiTheme="minorHAnsi" w:cstheme="minorHAnsi"/>
          <w:color w:val="000000" w:themeColor="text1"/>
          <w:sz w:val="20"/>
          <w:szCs w:val="20"/>
        </w:rPr>
        <w:t>-</w:t>
      </w:r>
      <w:r w:rsidRPr="008260AB">
        <w:rPr>
          <w:rFonts w:asciiTheme="minorHAnsi" w:eastAsia="Times New Roman" w:hAnsiTheme="minorHAnsi" w:cstheme="minorHAnsi"/>
          <w:color w:val="000000" w:themeColor="text1"/>
          <w:sz w:val="20"/>
          <w:szCs w:val="20"/>
        </w:rPr>
        <w:t xml:space="preserve">value commercial disputes </w:t>
      </w:r>
      <w:r w:rsidR="00D0077F">
        <w:rPr>
          <w:rFonts w:asciiTheme="minorHAnsi" w:eastAsia="Times New Roman" w:hAnsiTheme="minorHAnsi" w:cstheme="minorHAnsi"/>
          <w:color w:val="000000" w:themeColor="text1"/>
          <w:sz w:val="20"/>
          <w:szCs w:val="20"/>
        </w:rPr>
        <w:t>in the Irish legal system</w:t>
      </w:r>
      <w:r w:rsidRPr="008260AB">
        <w:rPr>
          <w:rFonts w:asciiTheme="minorHAnsi" w:eastAsia="Times New Roman" w:hAnsiTheme="minorHAnsi" w:cstheme="minorHAnsi"/>
          <w:color w:val="000000" w:themeColor="text1"/>
          <w:sz w:val="20"/>
          <w:szCs w:val="20"/>
        </w:rPr>
        <w:t>.</w:t>
      </w:r>
      <w:r w:rsidR="008260AB" w:rsidRPr="008260AB">
        <w:rPr>
          <w:rFonts w:asciiTheme="minorHAnsi" w:eastAsia="Times New Roman" w:hAnsiTheme="minorHAnsi" w:cstheme="minorHAnsi"/>
          <w:color w:val="000000" w:themeColor="text1"/>
          <w:sz w:val="20"/>
          <w:szCs w:val="20"/>
        </w:rPr>
        <w:t xml:space="preserve"> </w:t>
      </w:r>
      <w:r w:rsidR="00D0077F">
        <w:rPr>
          <w:rFonts w:asciiTheme="minorHAnsi" w:eastAsia="Times New Roman" w:hAnsiTheme="minorHAnsi" w:cstheme="minorHAnsi"/>
          <w:color w:val="000000" w:themeColor="text1"/>
          <w:sz w:val="20"/>
          <w:szCs w:val="20"/>
        </w:rPr>
        <w:t xml:space="preserve">See </w:t>
      </w:r>
      <w:r w:rsidR="008260AB" w:rsidRPr="008260AB">
        <w:rPr>
          <w:rFonts w:asciiTheme="minorHAnsi" w:eastAsia="Times New Roman" w:hAnsiTheme="minorHAnsi" w:cstheme="minorHAnsi"/>
          <w:color w:val="000000" w:themeColor="text1"/>
          <w:sz w:val="20"/>
          <w:szCs w:val="20"/>
        </w:rPr>
        <w:fldChar w:fldCharType="begin"/>
      </w:r>
      <w:r w:rsidR="008260AB" w:rsidRPr="008260AB">
        <w:rPr>
          <w:rFonts w:asciiTheme="minorHAnsi" w:eastAsia="Times New Roman" w:hAnsiTheme="minorHAnsi" w:cstheme="minorHAnsi"/>
          <w:color w:val="000000" w:themeColor="text1"/>
          <w:sz w:val="20"/>
          <w:szCs w:val="20"/>
        </w:rPr>
        <w:instrText xml:space="preserve"> ADDIN EN.CITE &lt;EndNote&gt;&lt;Cite&gt;&lt;Author&gt;News&lt;/Author&gt;&lt;Year&gt;2025&lt;/Year&gt;&lt;RecNum&gt;316&lt;/RecNum&gt;&lt;DisplayText&gt;Irish Legal News, &amp;apos;Analysis: Success for RDJ in landmark Russian aviation insurance trial&amp;apos; (2025) &amp;lt;https://www.irishlegal.com/articles/analysis-success-for-rdj-in-landmark-russian-aviation-insurance-trial&amp;gt; accessed &lt;/DisplayText&gt;&lt;record&gt;&lt;rec-number&gt;316&lt;/rec-number&gt;&lt;foreign-keys&gt;&lt;key app="EN" db-id="pps2xzrskvzsppeaxr755z5msaxwxe9dt9pv" timestamp="1756663079"&gt;316&lt;/key&gt;&lt;/foreign-keys&gt;&lt;ref-type name="Web Page"&gt;12&lt;/ref-type&gt;&lt;contributors&gt;&lt;authors&gt;&lt;author&gt;Irish Legal News&lt;/author&gt;&lt;/authors&gt;&lt;secondary-authors&gt;&lt;author&gt;Richard Martin, Lisa Mansfield&lt;/author&gt;&lt;/secondary-authors&gt;&lt;/contributors&gt;&lt;titles&gt;&lt;title&gt;Analysis: Success for RDJ in landmark Russian aviation insurance trial&lt;/title&gt;&lt;/titles&gt;&lt;num-vols&gt;18 June 2025&lt;/num-vols&gt;&lt;dates&gt;&lt;year&gt;2025&lt;/year&gt;&lt;pub-dates&gt;&lt;date&gt;31 August 2025&lt;/date&gt;&lt;/pub-dates&gt;&lt;/dates&gt;&lt;urls&gt;&lt;related-urls&gt;&lt;url&gt;https://www.irishlegal.com/articles/analysis-success-for-rdj-in-landmark-russian-aviation-insurance-trial&lt;/url&gt;&lt;/related-urls&gt;&lt;/urls&gt;&lt;/record&gt;&lt;/Cite&gt;&lt;/EndNote&gt;</w:instrText>
      </w:r>
      <w:r w:rsidR="008260AB" w:rsidRPr="008260AB">
        <w:rPr>
          <w:rFonts w:asciiTheme="minorHAnsi" w:eastAsia="Times New Roman" w:hAnsiTheme="minorHAnsi" w:cstheme="minorHAnsi"/>
          <w:color w:val="000000" w:themeColor="text1"/>
          <w:sz w:val="20"/>
          <w:szCs w:val="20"/>
        </w:rPr>
        <w:fldChar w:fldCharType="separate"/>
      </w:r>
      <w:r w:rsidR="008260AB" w:rsidRPr="00D0077F">
        <w:rPr>
          <w:rFonts w:asciiTheme="minorHAnsi" w:eastAsia="Times New Roman" w:hAnsiTheme="minorHAnsi" w:cstheme="minorHAnsi"/>
          <w:i/>
          <w:iCs/>
          <w:noProof/>
          <w:color w:val="000000" w:themeColor="text1"/>
          <w:sz w:val="20"/>
          <w:szCs w:val="20"/>
        </w:rPr>
        <w:t>Irish Legal News</w:t>
      </w:r>
      <w:r w:rsidR="008260AB" w:rsidRPr="008260AB">
        <w:rPr>
          <w:rFonts w:asciiTheme="minorHAnsi" w:eastAsia="Times New Roman" w:hAnsiTheme="minorHAnsi" w:cstheme="minorHAnsi"/>
          <w:noProof/>
          <w:color w:val="000000" w:themeColor="text1"/>
          <w:sz w:val="20"/>
          <w:szCs w:val="20"/>
        </w:rPr>
        <w:t xml:space="preserve">, 'Analysis: Success for RDJ in landmark Russian aviation insurance trial' (2025) &lt;https://www.irishlegal.com/articles/analysis-success-for-rdj-in-landmark-russian-aviation-insurance-trial&gt; accessed </w:t>
      </w:r>
      <w:r w:rsidR="008260AB" w:rsidRPr="008260AB">
        <w:rPr>
          <w:rFonts w:asciiTheme="minorHAnsi" w:eastAsia="Times New Roman" w:hAnsiTheme="minorHAnsi" w:cstheme="minorHAnsi"/>
          <w:color w:val="000000" w:themeColor="text1"/>
          <w:sz w:val="20"/>
          <w:szCs w:val="20"/>
        </w:rPr>
        <w:fldChar w:fldCharType="end"/>
      </w:r>
      <w:r w:rsidR="008260AB">
        <w:rPr>
          <w:rFonts w:asciiTheme="minorHAnsi" w:eastAsia="Times New Roman" w:hAnsiTheme="minorHAnsi" w:cstheme="minorHAnsi"/>
          <w:color w:val="000000" w:themeColor="text1"/>
          <w:sz w:val="20"/>
          <w:szCs w:val="20"/>
        </w:rPr>
        <w:t xml:space="preserve">on </w:t>
      </w:r>
      <w:r w:rsidR="00D0077F">
        <w:rPr>
          <w:rFonts w:asciiTheme="minorHAnsi" w:eastAsia="Times New Roman" w:hAnsiTheme="minorHAnsi" w:cstheme="minorHAnsi"/>
          <w:color w:val="000000" w:themeColor="text1"/>
          <w:sz w:val="20"/>
          <w:szCs w:val="20"/>
        </w:rPr>
        <w:t xml:space="preserve">31 </w:t>
      </w:r>
      <w:r w:rsidR="008260AB">
        <w:rPr>
          <w:rFonts w:asciiTheme="minorHAnsi" w:eastAsia="Times New Roman" w:hAnsiTheme="minorHAnsi" w:cstheme="minorHAnsi"/>
          <w:color w:val="000000" w:themeColor="text1"/>
          <w:sz w:val="20"/>
          <w:szCs w:val="20"/>
        </w:rPr>
        <w:t xml:space="preserve">August </w:t>
      </w:r>
      <w:r w:rsidR="00D0077F">
        <w:rPr>
          <w:rFonts w:asciiTheme="minorHAnsi" w:eastAsia="Times New Roman" w:hAnsiTheme="minorHAnsi" w:cstheme="minorHAnsi"/>
          <w:color w:val="000000" w:themeColor="text1"/>
          <w:sz w:val="20"/>
          <w:szCs w:val="20"/>
        </w:rPr>
        <w:t>2025</w:t>
      </w:r>
      <w:r w:rsidR="008260AB">
        <w:rPr>
          <w:rFonts w:asciiTheme="minorHAnsi" w:eastAsia="Times New Roman" w:hAnsiTheme="minorHAnsi" w:cstheme="minorHAnsi"/>
          <w:color w:val="000000" w:themeColor="text1"/>
          <w:sz w:val="20"/>
          <w:szCs w:val="20"/>
        </w:rPr>
        <w:t>.</w:t>
      </w:r>
    </w:p>
  </w:footnote>
  <w:footnote w:id="2">
    <w:p w14:paraId="000000A2" w14:textId="77777777" w:rsidR="0001123C" w:rsidRPr="008D6FB4" w:rsidRDefault="00000000">
      <w:pPr>
        <w:pBdr>
          <w:top w:val="nil"/>
          <w:left w:val="nil"/>
          <w:bottom w:val="nil"/>
          <w:right w:val="nil"/>
          <w:between w:val="nil"/>
        </w:pBdr>
        <w:rPr>
          <w:rFonts w:asciiTheme="minorHAnsi" w:hAnsiTheme="minorHAnsi" w:cstheme="minorHAnsi"/>
          <w:color w:val="000000"/>
          <w:sz w:val="20"/>
          <w:szCs w:val="20"/>
        </w:rPr>
      </w:pPr>
      <w:r w:rsidRPr="008D6FB4">
        <w:rPr>
          <w:rStyle w:val="FootnoteReference"/>
          <w:rFonts w:asciiTheme="minorHAnsi" w:hAnsiTheme="minorHAnsi" w:cstheme="minorHAnsi"/>
          <w:sz w:val="20"/>
          <w:szCs w:val="20"/>
        </w:rPr>
        <w:footnoteRef/>
      </w:r>
      <w:r w:rsidRPr="008D6FB4">
        <w:rPr>
          <w:rFonts w:asciiTheme="minorHAnsi" w:hAnsiTheme="minorHAnsi" w:cstheme="minorHAnsi"/>
          <w:color w:val="000000"/>
          <w:sz w:val="20"/>
          <w:szCs w:val="20"/>
        </w:rPr>
        <w:t xml:space="preserve"> </w:t>
      </w:r>
      <w:r w:rsidRPr="008D6FB4">
        <w:rPr>
          <w:rFonts w:asciiTheme="minorHAnsi" w:eastAsia="Times New Roman" w:hAnsiTheme="minorHAnsi" w:cstheme="minorHAnsi"/>
          <w:color w:val="000000"/>
          <w:sz w:val="20"/>
          <w:szCs w:val="20"/>
        </w:rPr>
        <w:t>Third-party support of litigation without interest.</w:t>
      </w:r>
    </w:p>
  </w:footnote>
  <w:footnote w:id="3">
    <w:p w14:paraId="000000A3" w14:textId="77777777" w:rsidR="0001123C" w:rsidRDefault="00000000">
      <w:pPr>
        <w:pBdr>
          <w:top w:val="nil"/>
          <w:left w:val="nil"/>
          <w:bottom w:val="nil"/>
          <w:right w:val="nil"/>
          <w:between w:val="nil"/>
        </w:pBdr>
        <w:rPr>
          <w:color w:val="000000"/>
          <w:sz w:val="20"/>
          <w:szCs w:val="20"/>
        </w:rPr>
      </w:pPr>
      <w:r w:rsidRPr="008D6FB4">
        <w:rPr>
          <w:rStyle w:val="FootnoteReference"/>
          <w:rFonts w:asciiTheme="minorHAnsi" w:hAnsiTheme="minorHAnsi" w:cstheme="minorHAnsi"/>
          <w:sz w:val="20"/>
          <w:szCs w:val="20"/>
        </w:rPr>
        <w:footnoteRef/>
      </w:r>
      <w:r w:rsidRPr="008D6FB4">
        <w:rPr>
          <w:rFonts w:asciiTheme="minorHAnsi" w:hAnsiTheme="minorHAnsi" w:cstheme="minorHAnsi"/>
          <w:color w:val="000000"/>
          <w:sz w:val="20"/>
          <w:szCs w:val="20"/>
        </w:rPr>
        <w:t xml:space="preserve"> </w:t>
      </w:r>
      <w:r w:rsidRPr="008D6FB4">
        <w:rPr>
          <w:rFonts w:asciiTheme="minorHAnsi" w:eastAsia="Times New Roman" w:hAnsiTheme="minorHAnsi" w:cstheme="minorHAnsi"/>
          <w:color w:val="000000"/>
          <w:sz w:val="20"/>
          <w:szCs w:val="20"/>
        </w:rPr>
        <w:t>Third-party support in return for profit.</w:t>
      </w:r>
    </w:p>
  </w:footnote>
  <w:footnote w:id="4">
    <w:p w14:paraId="000000A4" w14:textId="77777777" w:rsidR="0001123C" w:rsidRPr="0096187C" w:rsidRDefault="00000000">
      <w:pPr>
        <w:pBdr>
          <w:top w:val="nil"/>
          <w:left w:val="nil"/>
          <w:bottom w:val="nil"/>
          <w:right w:val="nil"/>
          <w:between w:val="nil"/>
        </w:pBdr>
        <w:rPr>
          <w:color w:val="000000"/>
          <w:sz w:val="20"/>
          <w:szCs w:val="20"/>
        </w:rPr>
      </w:pPr>
      <w:r w:rsidRPr="0096187C">
        <w:rPr>
          <w:rStyle w:val="FootnoteReference"/>
          <w:sz w:val="20"/>
          <w:szCs w:val="20"/>
        </w:rPr>
        <w:footnoteRef/>
      </w:r>
      <w:r w:rsidRPr="0096187C">
        <w:rPr>
          <w:color w:val="000000"/>
          <w:sz w:val="20"/>
          <w:szCs w:val="20"/>
        </w:rPr>
        <w:t xml:space="preserve"> </w:t>
      </w:r>
      <w:r w:rsidRPr="0096187C">
        <w:rPr>
          <w:i/>
          <w:color w:val="000000"/>
          <w:sz w:val="20"/>
          <w:szCs w:val="20"/>
        </w:rPr>
        <w:t xml:space="preserve">Justinian Capital SPC v </w:t>
      </w:r>
      <w:proofErr w:type="spellStart"/>
      <w:r w:rsidRPr="0096187C">
        <w:rPr>
          <w:i/>
          <w:color w:val="000000"/>
          <w:sz w:val="20"/>
          <w:szCs w:val="20"/>
        </w:rPr>
        <w:t>WestLB</w:t>
      </w:r>
      <w:proofErr w:type="spellEnd"/>
      <w:r w:rsidRPr="0096187C">
        <w:rPr>
          <w:i/>
          <w:color w:val="000000"/>
          <w:sz w:val="20"/>
          <w:szCs w:val="20"/>
        </w:rPr>
        <w:t xml:space="preserve"> AG </w:t>
      </w:r>
      <w:r w:rsidRPr="0096187C">
        <w:rPr>
          <w:color w:val="000000"/>
          <w:sz w:val="20"/>
          <w:szCs w:val="20"/>
        </w:rPr>
        <w:t>(Court of Appeals of New York)</w:t>
      </w:r>
    </w:p>
  </w:footnote>
  <w:footnote w:id="5">
    <w:p w14:paraId="000000A5" w14:textId="77777777" w:rsidR="0001123C" w:rsidRPr="0096187C" w:rsidRDefault="00000000">
      <w:pPr>
        <w:pBdr>
          <w:top w:val="nil"/>
          <w:left w:val="nil"/>
          <w:bottom w:val="nil"/>
          <w:right w:val="nil"/>
          <w:between w:val="nil"/>
        </w:pBdr>
        <w:rPr>
          <w:color w:val="000000"/>
          <w:sz w:val="20"/>
          <w:szCs w:val="20"/>
        </w:rPr>
      </w:pPr>
      <w:r w:rsidRPr="0096187C">
        <w:rPr>
          <w:rStyle w:val="FootnoteReference"/>
          <w:sz w:val="20"/>
          <w:szCs w:val="20"/>
        </w:rPr>
        <w:footnoteRef/>
      </w:r>
      <w:r w:rsidRPr="0096187C">
        <w:rPr>
          <w:color w:val="000000"/>
          <w:sz w:val="20"/>
          <w:szCs w:val="20"/>
        </w:rPr>
        <w:t xml:space="preserve"> </w:t>
      </w:r>
      <w:proofErr w:type="spellStart"/>
      <w:r w:rsidRPr="0096187C">
        <w:rPr>
          <w:i/>
          <w:color w:val="000000"/>
          <w:sz w:val="20"/>
          <w:szCs w:val="20"/>
        </w:rPr>
        <w:t>Trendtex</w:t>
      </w:r>
      <w:proofErr w:type="spellEnd"/>
      <w:r w:rsidRPr="0096187C">
        <w:rPr>
          <w:i/>
          <w:color w:val="000000"/>
          <w:sz w:val="20"/>
          <w:szCs w:val="20"/>
        </w:rPr>
        <w:t xml:space="preserve"> Trading Corporation and Another Appellants v. Credit Suisse </w:t>
      </w:r>
      <w:r w:rsidRPr="0096187C">
        <w:rPr>
          <w:color w:val="000000"/>
          <w:sz w:val="20"/>
          <w:szCs w:val="20"/>
        </w:rPr>
        <w:t>(House of Lords)</w:t>
      </w:r>
    </w:p>
  </w:footnote>
  <w:footnote w:id="6">
    <w:p w14:paraId="000000A6" w14:textId="77777777" w:rsidR="0001123C" w:rsidRPr="0096187C" w:rsidRDefault="00000000">
      <w:pPr>
        <w:pBdr>
          <w:top w:val="nil"/>
          <w:left w:val="nil"/>
          <w:bottom w:val="nil"/>
          <w:right w:val="nil"/>
          <w:between w:val="nil"/>
        </w:pBdr>
        <w:rPr>
          <w:color w:val="000000"/>
          <w:sz w:val="20"/>
          <w:szCs w:val="20"/>
        </w:rPr>
      </w:pPr>
      <w:r w:rsidRPr="0096187C">
        <w:rPr>
          <w:rStyle w:val="FootnoteReference"/>
          <w:sz w:val="20"/>
          <w:szCs w:val="20"/>
        </w:rPr>
        <w:footnoteRef/>
      </w:r>
      <w:r w:rsidRPr="0096187C">
        <w:rPr>
          <w:color w:val="000000"/>
          <w:sz w:val="20"/>
          <w:szCs w:val="20"/>
        </w:rPr>
        <w:t xml:space="preserve"> </w:t>
      </w:r>
      <w:r w:rsidRPr="0096187C">
        <w:rPr>
          <w:i/>
          <w:color w:val="000000"/>
          <w:sz w:val="20"/>
          <w:szCs w:val="20"/>
        </w:rPr>
        <w:t xml:space="preserve">Massai Aviation Services v Attorney General </w:t>
      </w:r>
      <w:r w:rsidRPr="0096187C">
        <w:rPr>
          <w:color w:val="000000"/>
          <w:sz w:val="20"/>
          <w:szCs w:val="20"/>
        </w:rPr>
        <w:t>(Privy Council)</w:t>
      </w:r>
    </w:p>
  </w:footnote>
  <w:footnote w:id="7">
    <w:p w14:paraId="000000A7" w14:textId="77777777" w:rsidR="0001123C" w:rsidRPr="0096187C" w:rsidRDefault="00000000">
      <w:pPr>
        <w:pBdr>
          <w:top w:val="nil"/>
          <w:left w:val="nil"/>
          <w:bottom w:val="nil"/>
          <w:right w:val="nil"/>
          <w:between w:val="nil"/>
        </w:pBdr>
        <w:rPr>
          <w:color w:val="000000"/>
          <w:sz w:val="20"/>
          <w:szCs w:val="20"/>
        </w:rPr>
      </w:pPr>
      <w:r w:rsidRPr="0096187C">
        <w:rPr>
          <w:rStyle w:val="FootnoteReference"/>
          <w:sz w:val="20"/>
          <w:szCs w:val="20"/>
        </w:rPr>
        <w:footnoteRef/>
      </w:r>
      <w:r w:rsidRPr="0096187C">
        <w:rPr>
          <w:color w:val="000000"/>
          <w:sz w:val="20"/>
          <w:szCs w:val="20"/>
        </w:rPr>
        <w:t xml:space="preserve"> </w:t>
      </w:r>
      <w:r w:rsidRPr="0096187C">
        <w:rPr>
          <w:i/>
          <w:color w:val="000000"/>
          <w:sz w:val="20"/>
          <w:szCs w:val="20"/>
        </w:rPr>
        <w:t xml:space="preserve">SPV Osus v HSBC Institutional Trust Services (Ireland) Ltd </w:t>
      </w:r>
      <w:r w:rsidRPr="0096187C">
        <w:rPr>
          <w:color w:val="000000"/>
          <w:sz w:val="20"/>
          <w:szCs w:val="20"/>
        </w:rPr>
        <w:t>(Supreme Court)</w:t>
      </w:r>
    </w:p>
  </w:footnote>
  <w:footnote w:id="8">
    <w:p w14:paraId="000000A8" w14:textId="77777777" w:rsidR="0001123C" w:rsidRPr="0096187C" w:rsidRDefault="00000000">
      <w:pPr>
        <w:pBdr>
          <w:top w:val="nil"/>
          <w:left w:val="nil"/>
          <w:bottom w:val="nil"/>
          <w:right w:val="nil"/>
          <w:between w:val="nil"/>
        </w:pBdr>
        <w:rPr>
          <w:color w:val="000000"/>
          <w:sz w:val="20"/>
          <w:szCs w:val="20"/>
        </w:rPr>
      </w:pPr>
      <w:r w:rsidRPr="0096187C">
        <w:rPr>
          <w:rStyle w:val="FootnoteReference"/>
          <w:sz w:val="20"/>
          <w:szCs w:val="20"/>
        </w:rPr>
        <w:footnoteRef/>
      </w:r>
      <w:r w:rsidRPr="0096187C">
        <w:rPr>
          <w:color w:val="000000"/>
          <w:sz w:val="20"/>
          <w:szCs w:val="20"/>
        </w:rPr>
        <w:t xml:space="preserve"> </w:t>
      </w:r>
      <w:proofErr w:type="spellStart"/>
      <w:r w:rsidRPr="0096187C">
        <w:rPr>
          <w:i/>
          <w:color w:val="000000"/>
          <w:sz w:val="20"/>
          <w:szCs w:val="20"/>
        </w:rPr>
        <w:t>Trendtex</w:t>
      </w:r>
      <w:proofErr w:type="spellEnd"/>
      <w:r w:rsidRPr="0096187C">
        <w:rPr>
          <w:i/>
          <w:color w:val="000000"/>
          <w:sz w:val="20"/>
          <w:szCs w:val="20"/>
        </w:rPr>
        <w:t xml:space="preserve"> Trading Corporation and Another Appellants v. Credit Suisse</w:t>
      </w:r>
    </w:p>
  </w:footnote>
  <w:footnote w:id="9">
    <w:p w14:paraId="77555067" w14:textId="280EB6E6" w:rsidR="008D6FB4" w:rsidRPr="008D6FB4" w:rsidRDefault="008D6FB4">
      <w:pPr>
        <w:pStyle w:val="FootnoteText"/>
      </w:pPr>
      <w:r w:rsidRPr="0096187C">
        <w:rPr>
          <w:rStyle w:val="FootnoteReference"/>
        </w:rPr>
        <w:footnoteRef/>
      </w:r>
      <w:r w:rsidRPr="0096187C">
        <w:t xml:space="preserve"> </w:t>
      </w:r>
      <w:r w:rsidRPr="0096187C">
        <w:fldChar w:fldCharType="begin"/>
      </w:r>
      <w:r w:rsidRPr="0096187C">
        <w:instrText xml:space="preserve"> ADDIN EN.CITE &lt;EndNote&gt;&lt;Cite&gt;&lt;Year&gt;2024&lt;/Year&gt;&lt;RecNum&gt;310&lt;/RecNum&gt;&lt;DisplayText&gt;&lt;style face="italic"&gt;Scully v Coucal Ltd &lt;/style&gt;(Court of Appeal)&lt;/DisplayText&gt;&lt;record&gt;&lt;rec-number&gt;310&lt;/rec-number&gt;&lt;foreign-keys&gt;&lt;key app="EN" db-id="pps2xzrskvzsppeaxr755z5msaxwxe9dt9pv" timestamp="1751723989"&gt;310&lt;/key&gt;&lt;/foreign-keys&gt;&lt;ref-type name="Case"&gt;7&lt;/ref-type&gt;&lt;contributors&gt;&lt;tertiary-authors&gt;&lt;author&gt;Court of Appeal&lt;/author&gt;&lt;/tertiary-authors&gt;&lt;/contributors&gt;&lt;titles&gt;&lt;title&gt;Scully v Coucal Ltd&lt;/title&gt;&lt;/titles&gt;&lt;number&gt;IECA 104 &lt;/number&gt;&lt;dates&gt;&lt;year&gt;2024&lt;/year&gt;&lt;/dates&gt;&lt;publisher&gt;Court of Appeal&lt;/publisher&gt;&lt;urls&gt;&lt;/urls&gt;&lt;/record&gt;&lt;/Cite&gt;&lt;/EndNote&gt;</w:instrText>
      </w:r>
      <w:r w:rsidRPr="0096187C">
        <w:fldChar w:fldCharType="separate"/>
      </w:r>
      <w:r w:rsidRPr="0096187C">
        <w:rPr>
          <w:i/>
          <w:noProof/>
        </w:rPr>
        <w:t xml:space="preserve">Scully v Coucal Ltd </w:t>
      </w:r>
      <w:r w:rsidRPr="0096187C">
        <w:rPr>
          <w:noProof/>
        </w:rPr>
        <w:t>(Court of Appeal)</w:t>
      </w:r>
      <w:r w:rsidRPr="0096187C">
        <w:fldChar w:fldCharType="end"/>
      </w:r>
    </w:p>
  </w:footnote>
  <w:footnote w:id="10">
    <w:p w14:paraId="000000AA" w14:textId="77777777" w:rsidR="0001123C"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 xml:space="preserve">McCool v Honeywell Control Systems Ltd </w:t>
      </w:r>
      <w:r>
        <w:rPr>
          <w:color w:val="000000"/>
          <w:sz w:val="20"/>
          <w:szCs w:val="20"/>
        </w:rPr>
        <w:t>(Supreme Court)</w:t>
      </w:r>
    </w:p>
  </w:footnote>
  <w:footnote w:id="11">
    <w:p w14:paraId="2D6A101F" w14:textId="08C1E4BD" w:rsidR="00914464" w:rsidRPr="00914464" w:rsidRDefault="00914464">
      <w:pPr>
        <w:pStyle w:val="FootnoteText"/>
      </w:pPr>
      <w:r w:rsidRPr="00A068D8">
        <w:rPr>
          <w:rStyle w:val="FootnoteReference"/>
        </w:rPr>
        <w:footnoteRef/>
      </w:r>
      <w:r w:rsidRPr="00A068D8">
        <w:t xml:space="preserve"> </w:t>
      </w:r>
      <w:r w:rsidR="00EB625E" w:rsidRPr="00A068D8">
        <w:fldChar w:fldCharType="begin"/>
      </w:r>
      <w:r w:rsidR="00EB625E" w:rsidRPr="00A068D8">
        <w:instrText xml:space="preserve"> ADDIN EN.CITE &lt;EndNote&gt;&lt;Cite&gt;&lt;Year&gt;2024&lt;/Year&gt;&lt;RecNum&gt;310&lt;/RecNum&gt;&lt;DisplayText&gt;&lt;style face="italic"&gt;Scully v Coucal Ltd&lt;/style&gt;&lt;/DisplayText&gt;&lt;record&gt;&lt;rec-number&gt;310&lt;/rec-number&gt;&lt;foreign-keys&gt;&lt;key app="EN" db-id="pps2xzrskvzsppeaxr755z5msaxwxe9dt9pv" timestamp="1751723989"&gt;310&lt;/key&gt;&lt;/foreign-keys&gt;&lt;ref-type name="Case"&gt;7&lt;/ref-type&gt;&lt;contributors&gt;&lt;tertiary-authors&gt;&lt;author&gt;Court of Appeal&lt;/author&gt;&lt;/tertiary-authors&gt;&lt;/contributors&gt;&lt;titles&gt;&lt;title&gt;Scully v Coucal Ltd&lt;/title&gt;&lt;/titles&gt;&lt;number&gt;IECA 104 &lt;/number&gt;&lt;dates&gt;&lt;year&gt;2024&lt;/year&gt;&lt;/dates&gt;&lt;publisher&gt;Court of Appeal&lt;/publisher&gt;&lt;urls&gt;&lt;/urls&gt;&lt;/record&gt;&lt;/Cite&gt;&lt;/EndNote&gt;</w:instrText>
      </w:r>
      <w:r w:rsidR="00EB625E" w:rsidRPr="00A068D8">
        <w:fldChar w:fldCharType="separate"/>
      </w:r>
      <w:r w:rsidR="00EB625E" w:rsidRPr="00A068D8">
        <w:rPr>
          <w:i/>
          <w:noProof/>
        </w:rPr>
        <w:t>Scully v Coucal Ltd</w:t>
      </w:r>
      <w:r w:rsidR="00EB625E" w:rsidRPr="00A068D8">
        <w:fldChar w:fldCharType="end"/>
      </w:r>
    </w:p>
  </w:footnote>
  <w:footnote w:id="12">
    <w:p w14:paraId="000000AF" w14:textId="50F2479C" w:rsidR="0001123C" w:rsidRPr="005A5534" w:rsidRDefault="00000000">
      <w:pPr>
        <w:rPr>
          <w:rFonts w:asciiTheme="minorHAnsi" w:hAnsiTheme="minorHAnsi" w:cstheme="minorHAnsi"/>
          <w:sz w:val="20"/>
          <w:szCs w:val="20"/>
        </w:rPr>
      </w:pPr>
      <w:r w:rsidRPr="005A5534">
        <w:rPr>
          <w:rStyle w:val="FootnoteReference"/>
          <w:rFonts w:asciiTheme="minorHAnsi" w:hAnsiTheme="minorHAnsi" w:cstheme="minorHAnsi"/>
        </w:rPr>
        <w:footnoteRef/>
      </w:r>
      <w:r w:rsidRPr="005A5534">
        <w:rPr>
          <w:rFonts w:asciiTheme="minorHAnsi" w:hAnsiTheme="minorHAnsi" w:cstheme="minorHAnsi"/>
          <w:sz w:val="20"/>
          <w:szCs w:val="20"/>
        </w:rPr>
        <w:t xml:space="preserve"> </w:t>
      </w:r>
      <w:r w:rsidRPr="005A5534">
        <w:rPr>
          <w:rFonts w:asciiTheme="minorHAnsi" w:eastAsia="Arial" w:hAnsiTheme="minorHAnsi" w:cstheme="minorHAnsi"/>
          <w:i/>
          <w:sz w:val="20"/>
          <w:szCs w:val="20"/>
        </w:rPr>
        <w:t>Bates v Others v Post Office Ltd</w:t>
      </w:r>
      <w:r w:rsidRPr="005A5534">
        <w:rPr>
          <w:rFonts w:asciiTheme="minorHAnsi" w:eastAsia="Arial" w:hAnsiTheme="minorHAnsi" w:cstheme="minorHAnsi"/>
          <w:sz w:val="20"/>
          <w:szCs w:val="20"/>
        </w:rPr>
        <w:t xml:space="preserve"> [2019] EWHC 606 (QB)</w:t>
      </w:r>
    </w:p>
  </w:footnote>
  <w:footnote w:id="13">
    <w:p w14:paraId="000000B0" w14:textId="79B20E46" w:rsidR="0001123C" w:rsidRPr="00F46BF4" w:rsidRDefault="00000000">
      <w:pPr>
        <w:rPr>
          <w:rFonts w:ascii="Times New Roman" w:eastAsia="Times New Roman" w:hAnsi="Times New Roman" w:cs="Times New Roman"/>
          <w:sz w:val="36"/>
          <w:szCs w:val="36"/>
          <w:vertAlign w:val="superscript"/>
          <w:lang w:val="es-ES"/>
        </w:rPr>
      </w:pPr>
      <w:r w:rsidRPr="005A5534">
        <w:rPr>
          <w:rStyle w:val="FootnoteReference"/>
          <w:rFonts w:asciiTheme="minorHAnsi" w:hAnsiTheme="minorHAnsi" w:cstheme="minorHAnsi"/>
        </w:rPr>
        <w:footnoteRef/>
      </w:r>
      <w:r w:rsidRPr="005A5534">
        <w:rPr>
          <w:rFonts w:asciiTheme="minorHAnsi" w:hAnsiTheme="minorHAnsi" w:cstheme="minorHAnsi"/>
          <w:sz w:val="20"/>
          <w:szCs w:val="20"/>
          <w:lang w:val="es-ES"/>
        </w:rPr>
        <w:t xml:space="preserve"> </w:t>
      </w:r>
      <w:r w:rsidRPr="005A5534">
        <w:rPr>
          <w:rFonts w:asciiTheme="minorHAnsi" w:eastAsia="Arial" w:hAnsiTheme="minorHAnsi" w:cstheme="minorHAnsi"/>
          <w:i/>
          <w:sz w:val="20"/>
          <w:szCs w:val="20"/>
          <w:lang w:val="es-ES"/>
        </w:rPr>
        <w:t xml:space="preserve">Hamilton Capital VII, LLC v </w:t>
      </w:r>
      <w:proofErr w:type="spellStart"/>
      <w:r w:rsidRPr="005A5534">
        <w:rPr>
          <w:rFonts w:asciiTheme="minorHAnsi" w:eastAsia="Arial" w:hAnsiTheme="minorHAnsi" w:cstheme="minorHAnsi"/>
          <w:i/>
          <w:sz w:val="20"/>
          <w:szCs w:val="20"/>
          <w:lang w:val="es-ES"/>
        </w:rPr>
        <w:t>Khorrami</w:t>
      </w:r>
      <w:proofErr w:type="spellEnd"/>
      <w:r w:rsidRPr="005A5534">
        <w:rPr>
          <w:rFonts w:asciiTheme="minorHAnsi" w:eastAsia="Arial" w:hAnsiTheme="minorHAnsi" w:cstheme="minorHAnsi"/>
          <w:i/>
          <w:sz w:val="20"/>
          <w:szCs w:val="20"/>
          <w:lang w:val="es-ES"/>
        </w:rPr>
        <w:t>, LLP</w:t>
      </w:r>
      <w:r w:rsidRPr="005A5534">
        <w:rPr>
          <w:rFonts w:asciiTheme="minorHAnsi" w:eastAsia="Arial" w:hAnsiTheme="minorHAnsi" w:cstheme="minorHAnsi"/>
          <w:sz w:val="20"/>
          <w:szCs w:val="20"/>
          <w:lang w:val="es-ES"/>
        </w:rPr>
        <w:t xml:space="preserve"> 2015 NY Slip </w:t>
      </w:r>
      <w:proofErr w:type="spellStart"/>
      <w:r w:rsidRPr="005A5534">
        <w:rPr>
          <w:rFonts w:asciiTheme="minorHAnsi" w:eastAsia="Arial" w:hAnsiTheme="minorHAnsi" w:cstheme="minorHAnsi"/>
          <w:sz w:val="20"/>
          <w:szCs w:val="20"/>
          <w:lang w:val="es-ES"/>
        </w:rPr>
        <w:t>Op</w:t>
      </w:r>
      <w:proofErr w:type="spellEnd"/>
      <w:r w:rsidRPr="005A5534">
        <w:rPr>
          <w:rFonts w:asciiTheme="minorHAnsi" w:eastAsia="Arial" w:hAnsiTheme="minorHAnsi" w:cstheme="minorHAnsi"/>
          <w:sz w:val="20"/>
          <w:szCs w:val="20"/>
          <w:lang w:val="es-ES"/>
        </w:rPr>
        <w:t xml:space="preserve"> 51199</w:t>
      </w:r>
      <w:r w:rsidR="00EB625E" w:rsidRPr="005A5534">
        <w:rPr>
          <w:rFonts w:asciiTheme="minorHAnsi" w:eastAsia="Arial" w:hAnsiTheme="minorHAnsi" w:cstheme="minorHAnsi"/>
          <w:sz w:val="20"/>
          <w:szCs w:val="20"/>
          <w:lang w:val="es-ES"/>
        </w:rPr>
        <w:t xml:space="preserve"> </w:t>
      </w:r>
      <w:r w:rsidRPr="005A5534">
        <w:rPr>
          <w:rFonts w:asciiTheme="minorHAnsi" w:eastAsia="Arial" w:hAnsiTheme="minorHAnsi" w:cstheme="minorHAnsi"/>
          <w:sz w:val="20"/>
          <w:szCs w:val="20"/>
          <w:lang w:val="es-ES"/>
        </w:rPr>
        <w:t>(U)</w:t>
      </w:r>
    </w:p>
  </w:footnote>
  <w:footnote w:id="14">
    <w:p w14:paraId="000000B1" w14:textId="77777777" w:rsidR="0001123C" w:rsidRPr="005A5534" w:rsidRDefault="00000000">
      <w:pPr>
        <w:rPr>
          <w:rFonts w:asciiTheme="minorHAnsi" w:hAnsiTheme="minorHAnsi" w:cstheme="minorHAnsi"/>
          <w:sz w:val="20"/>
          <w:szCs w:val="20"/>
          <w:vertAlign w:val="superscript"/>
        </w:rPr>
      </w:pPr>
      <w:r w:rsidRPr="005A5534">
        <w:rPr>
          <w:rStyle w:val="FootnoteReference"/>
          <w:rFonts w:asciiTheme="minorHAnsi" w:hAnsiTheme="minorHAnsi" w:cstheme="minorHAnsi"/>
          <w:sz w:val="20"/>
          <w:szCs w:val="20"/>
        </w:rPr>
        <w:footnoteRef/>
      </w:r>
      <w:r w:rsidRPr="005A5534">
        <w:rPr>
          <w:rFonts w:asciiTheme="minorHAnsi" w:hAnsiTheme="minorHAnsi" w:cstheme="minorHAnsi"/>
          <w:sz w:val="20"/>
          <w:szCs w:val="20"/>
          <w:vertAlign w:val="superscript"/>
        </w:rPr>
        <w:t xml:space="preserve">  </w:t>
      </w:r>
      <w:sdt>
        <w:sdtPr>
          <w:rPr>
            <w:rFonts w:asciiTheme="minorHAnsi" w:hAnsiTheme="minorHAnsi" w:cstheme="minorHAnsi"/>
            <w:sz w:val="20"/>
            <w:szCs w:val="20"/>
          </w:rPr>
          <w:tag w:val="goog_rdk_10"/>
          <w:id w:val="-2056869608"/>
        </w:sdtPr>
        <w:sdtContent/>
      </w:sdt>
      <w:r w:rsidRPr="005A5534">
        <w:rPr>
          <w:rFonts w:asciiTheme="minorHAnsi" w:eastAsia="Arial" w:hAnsiTheme="minorHAnsi" w:cstheme="minorHAnsi"/>
          <w:i/>
          <w:sz w:val="20"/>
          <w:szCs w:val="20"/>
        </w:rPr>
        <w:t xml:space="preserve">R (Factortame) v Secretary of State for Transport (No 8) </w:t>
      </w:r>
      <w:r w:rsidRPr="005A5534">
        <w:rPr>
          <w:rFonts w:asciiTheme="minorHAnsi" w:eastAsia="Arial" w:hAnsiTheme="minorHAnsi" w:cstheme="minorHAnsi"/>
          <w:sz w:val="20"/>
          <w:szCs w:val="20"/>
        </w:rPr>
        <w:t xml:space="preserve">[2002] EWCA </w:t>
      </w:r>
      <w:proofErr w:type="spellStart"/>
      <w:r w:rsidRPr="005A5534">
        <w:rPr>
          <w:rFonts w:asciiTheme="minorHAnsi" w:eastAsia="Arial" w:hAnsiTheme="minorHAnsi" w:cstheme="minorHAnsi"/>
          <w:sz w:val="20"/>
          <w:szCs w:val="20"/>
        </w:rPr>
        <w:t>Civ</w:t>
      </w:r>
      <w:proofErr w:type="spellEnd"/>
      <w:r w:rsidRPr="005A5534">
        <w:rPr>
          <w:rFonts w:asciiTheme="minorHAnsi" w:eastAsia="Arial" w:hAnsiTheme="minorHAnsi" w:cstheme="minorHAnsi"/>
          <w:sz w:val="20"/>
          <w:szCs w:val="20"/>
        </w:rPr>
        <w:t xml:space="preserve"> 932</w:t>
      </w:r>
    </w:p>
  </w:footnote>
  <w:footnote w:id="15">
    <w:p w14:paraId="000000B2" w14:textId="77777777" w:rsidR="0001123C" w:rsidRPr="005A5534" w:rsidRDefault="00000000">
      <w:pPr>
        <w:rPr>
          <w:rFonts w:asciiTheme="minorHAnsi" w:hAnsiTheme="minorHAnsi" w:cstheme="minorHAnsi"/>
          <w:sz w:val="20"/>
          <w:szCs w:val="20"/>
          <w:vertAlign w:val="superscript"/>
        </w:rPr>
      </w:pPr>
      <w:r w:rsidRPr="005A5534">
        <w:rPr>
          <w:rStyle w:val="FootnoteReference"/>
          <w:rFonts w:asciiTheme="minorHAnsi" w:hAnsiTheme="minorHAnsi" w:cstheme="minorHAnsi"/>
          <w:sz w:val="20"/>
          <w:szCs w:val="20"/>
        </w:rPr>
        <w:footnoteRef/>
      </w:r>
      <w:r w:rsidRPr="005A5534">
        <w:rPr>
          <w:rFonts w:asciiTheme="minorHAnsi" w:hAnsiTheme="minorHAnsi" w:cstheme="minorHAnsi"/>
          <w:sz w:val="20"/>
          <w:szCs w:val="20"/>
          <w:vertAlign w:val="superscript"/>
        </w:rPr>
        <w:t xml:space="preserve"> </w:t>
      </w:r>
      <w:r w:rsidRPr="005A5534">
        <w:rPr>
          <w:rFonts w:asciiTheme="minorHAnsi" w:eastAsia="Arial" w:hAnsiTheme="minorHAnsi" w:cstheme="minorHAnsi"/>
          <w:i/>
          <w:sz w:val="20"/>
          <w:szCs w:val="20"/>
        </w:rPr>
        <w:t>Arkin v Borchard Lines Ltd (Nos 2 and 3)</w:t>
      </w:r>
      <w:r w:rsidRPr="005A5534">
        <w:rPr>
          <w:rFonts w:asciiTheme="minorHAnsi" w:eastAsia="Arial" w:hAnsiTheme="minorHAnsi" w:cstheme="minorHAnsi"/>
          <w:sz w:val="20"/>
          <w:szCs w:val="20"/>
        </w:rPr>
        <w:t xml:space="preserve"> [2005] EWCA </w:t>
      </w:r>
      <w:proofErr w:type="spellStart"/>
      <w:r w:rsidRPr="005A5534">
        <w:rPr>
          <w:rFonts w:asciiTheme="minorHAnsi" w:eastAsia="Arial" w:hAnsiTheme="minorHAnsi" w:cstheme="minorHAnsi"/>
          <w:sz w:val="20"/>
          <w:szCs w:val="20"/>
        </w:rPr>
        <w:t>Civ</w:t>
      </w:r>
      <w:proofErr w:type="spellEnd"/>
      <w:r w:rsidRPr="005A5534">
        <w:rPr>
          <w:rFonts w:asciiTheme="minorHAnsi" w:eastAsia="Arial" w:hAnsiTheme="minorHAnsi" w:cstheme="minorHAnsi"/>
          <w:sz w:val="20"/>
          <w:szCs w:val="20"/>
        </w:rPr>
        <w:t xml:space="preserve"> 655</w:t>
      </w:r>
    </w:p>
  </w:footnote>
  <w:footnote w:id="16">
    <w:p w14:paraId="000000B3" w14:textId="77777777" w:rsidR="0001123C" w:rsidRPr="005A5534" w:rsidRDefault="00000000">
      <w:pPr>
        <w:rPr>
          <w:rFonts w:asciiTheme="minorHAnsi" w:hAnsiTheme="minorHAnsi" w:cstheme="minorHAnsi"/>
          <w:sz w:val="20"/>
          <w:szCs w:val="20"/>
          <w:vertAlign w:val="superscript"/>
        </w:rPr>
      </w:pPr>
      <w:r w:rsidRPr="005A5534">
        <w:rPr>
          <w:rStyle w:val="FootnoteReference"/>
          <w:rFonts w:asciiTheme="minorHAnsi" w:hAnsiTheme="minorHAnsi" w:cstheme="minorHAnsi"/>
          <w:sz w:val="20"/>
          <w:szCs w:val="20"/>
        </w:rPr>
        <w:footnoteRef/>
      </w:r>
      <w:r w:rsidRPr="005A5534">
        <w:rPr>
          <w:rFonts w:asciiTheme="minorHAnsi" w:hAnsiTheme="minorHAnsi" w:cstheme="minorHAnsi"/>
          <w:sz w:val="20"/>
          <w:szCs w:val="20"/>
          <w:vertAlign w:val="superscript"/>
        </w:rPr>
        <w:t xml:space="preserve"> </w:t>
      </w:r>
      <w:proofErr w:type="spellStart"/>
      <w:r w:rsidRPr="005A5534">
        <w:rPr>
          <w:rFonts w:asciiTheme="minorHAnsi" w:eastAsia="Arial" w:hAnsiTheme="minorHAnsi" w:cstheme="minorHAnsi"/>
          <w:i/>
          <w:sz w:val="20"/>
          <w:szCs w:val="20"/>
        </w:rPr>
        <w:t>Chapelgate</w:t>
      </w:r>
      <w:proofErr w:type="spellEnd"/>
      <w:r w:rsidRPr="005A5534">
        <w:rPr>
          <w:rFonts w:asciiTheme="minorHAnsi" w:eastAsia="Arial" w:hAnsiTheme="minorHAnsi" w:cstheme="minorHAnsi"/>
          <w:i/>
          <w:sz w:val="20"/>
          <w:szCs w:val="20"/>
        </w:rPr>
        <w:t xml:space="preserve"> Credit Opportunity Master Fund Ltd v Money and others</w:t>
      </w:r>
      <w:r w:rsidRPr="005A5534">
        <w:rPr>
          <w:rFonts w:asciiTheme="minorHAnsi" w:eastAsia="Arial" w:hAnsiTheme="minorHAnsi" w:cstheme="minorHAnsi"/>
          <w:sz w:val="20"/>
          <w:szCs w:val="20"/>
        </w:rPr>
        <w:t xml:space="preserve"> [2020] EWCA </w:t>
      </w:r>
      <w:proofErr w:type="spellStart"/>
      <w:r w:rsidRPr="005A5534">
        <w:rPr>
          <w:rFonts w:asciiTheme="minorHAnsi" w:eastAsia="Arial" w:hAnsiTheme="minorHAnsi" w:cstheme="minorHAnsi"/>
          <w:sz w:val="20"/>
          <w:szCs w:val="20"/>
        </w:rPr>
        <w:t>Civ</w:t>
      </w:r>
      <w:proofErr w:type="spellEnd"/>
      <w:r w:rsidRPr="005A5534">
        <w:rPr>
          <w:rFonts w:asciiTheme="minorHAnsi" w:eastAsia="Arial" w:hAnsiTheme="minorHAnsi" w:cstheme="minorHAnsi"/>
          <w:sz w:val="20"/>
          <w:szCs w:val="20"/>
        </w:rPr>
        <w:t xml:space="preserve"> 246</w:t>
      </w:r>
    </w:p>
  </w:footnote>
  <w:footnote w:id="17">
    <w:p w14:paraId="000000B4" w14:textId="77777777" w:rsidR="0001123C" w:rsidRDefault="00000000">
      <w:pPr>
        <w:rPr>
          <w:rFonts w:ascii="Times New Roman" w:eastAsia="Times New Roman" w:hAnsi="Times New Roman" w:cs="Times New Roman"/>
          <w:sz w:val="36"/>
          <w:szCs w:val="36"/>
          <w:vertAlign w:val="superscript"/>
        </w:rPr>
      </w:pPr>
      <w:r w:rsidRPr="005A5534">
        <w:rPr>
          <w:rStyle w:val="FootnoteReference"/>
          <w:rFonts w:asciiTheme="minorHAnsi" w:hAnsiTheme="minorHAnsi" w:cstheme="minorHAnsi"/>
          <w:sz w:val="20"/>
          <w:szCs w:val="20"/>
        </w:rPr>
        <w:footnoteRef/>
      </w:r>
      <w:r w:rsidRPr="005A5534">
        <w:rPr>
          <w:rFonts w:asciiTheme="minorHAnsi" w:hAnsiTheme="minorHAnsi" w:cstheme="minorHAnsi"/>
          <w:sz w:val="20"/>
          <w:szCs w:val="20"/>
          <w:vertAlign w:val="superscript"/>
        </w:rPr>
        <w:t xml:space="preserve"> </w:t>
      </w:r>
      <w:r w:rsidRPr="005A5534">
        <w:rPr>
          <w:rFonts w:asciiTheme="minorHAnsi" w:eastAsia="Arial" w:hAnsiTheme="minorHAnsi" w:cstheme="minorHAnsi"/>
          <w:i/>
          <w:sz w:val="20"/>
          <w:szCs w:val="20"/>
        </w:rPr>
        <w:t xml:space="preserve">R (PACCAR) v Competition Appeal Tribunal </w:t>
      </w:r>
      <w:r w:rsidRPr="005A5534">
        <w:rPr>
          <w:rFonts w:asciiTheme="minorHAnsi" w:eastAsia="Arial" w:hAnsiTheme="minorHAnsi" w:cstheme="minorHAnsi"/>
          <w:sz w:val="20"/>
          <w:szCs w:val="20"/>
        </w:rPr>
        <w:t>[2023] UKSC 28</w:t>
      </w:r>
    </w:p>
  </w:footnote>
  <w:footnote w:id="18">
    <w:p w14:paraId="000000B5" w14:textId="77777777" w:rsidR="0001123C" w:rsidRPr="005A5534" w:rsidRDefault="00000000">
      <w:pPr>
        <w:rPr>
          <w:rFonts w:asciiTheme="minorHAnsi" w:eastAsia="Arial" w:hAnsiTheme="minorHAnsi" w:cstheme="minorHAnsi"/>
          <w:sz w:val="20"/>
          <w:szCs w:val="20"/>
        </w:rPr>
      </w:pPr>
      <w:r w:rsidRPr="005A5534">
        <w:rPr>
          <w:rStyle w:val="FootnoteReference"/>
          <w:rFonts w:asciiTheme="minorHAnsi" w:hAnsiTheme="minorHAnsi" w:cstheme="minorHAnsi"/>
          <w:sz w:val="20"/>
          <w:szCs w:val="20"/>
        </w:rPr>
        <w:footnoteRef/>
      </w:r>
      <w:r w:rsidRPr="005A5534">
        <w:rPr>
          <w:rFonts w:asciiTheme="minorHAnsi" w:hAnsiTheme="minorHAnsi" w:cstheme="minorHAnsi"/>
          <w:sz w:val="20"/>
          <w:szCs w:val="20"/>
          <w:vertAlign w:val="superscript"/>
        </w:rPr>
        <w:t xml:space="preserve"> </w:t>
      </w:r>
      <w:r w:rsidRPr="005A5534">
        <w:rPr>
          <w:rFonts w:asciiTheme="minorHAnsi" w:eastAsia="Arial" w:hAnsiTheme="minorHAnsi" w:cstheme="minorHAnsi"/>
          <w:i/>
          <w:sz w:val="20"/>
          <w:szCs w:val="20"/>
        </w:rPr>
        <w:t>Persona Digital Telephony Ltd v Minister for Public Enterprise</w:t>
      </w:r>
      <w:r w:rsidRPr="005A5534">
        <w:rPr>
          <w:rFonts w:asciiTheme="minorHAnsi" w:eastAsia="Arial" w:hAnsiTheme="minorHAnsi" w:cstheme="minorHAnsi"/>
          <w:sz w:val="20"/>
          <w:szCs w:val="20"/>
        </w:rPr>
        <w:t xml:space="preserve"> [2017] IESC 27</w:t>
      </w:r>
    </w:p>
    <w:p w14:paraId="000000B6" w14:textId="77777777" w:rsidR="0001123C" w:rsidRDefault="0001123C">
      <w:pPr>
        <w:rPr>
          <w:rFonts w:ascii="Times New Roman" w:eastAsia="Times New Roman" w:hAnsi="Times New Roman" w:cs="Times New Roman"/>
          <w:sz w:val="22"/>
          <w:szCs w:val="22"/>
        </w:rPr>
      </w:pPr>
    </w:p>
  </w:footnote>
  <w:footnote w:id="19">
    <w:p w14:paraId="000000B7" w14:textId="455871A5" w:rsidR="0001123C" w:rsidRPr="005A5534" w:rsidRDefault="00000000">
      <w:pPr>
        <w:rPr>
          <w:rFonts w:asciiTheme="minorHAnsi" w:hAnsiTheme="minorHAnsi" w:cstheme="minorHAnsi"/>
          <w:sz w:val="20"/>
          <w:szCs w:val="20"/>
        </w:rPr>
      </w:pPr>
      <w:r w:rsidRPr="00A068D8">
        <w:rPr>
          <w:rStyle w:val="FootnoteReference"/>
          <w:rFonts w:asciiTheme="minorHAnsi" w:hAnsiTheme="minorHAnsi" w:cstheme="minorHAnsi"/>
          <w:sz w:val="20"/>
          <w:szCs w:val="20"/>
        </w:rPr>
        <w:footnoteRef/>
      </w:r>
      <w:r w:rsidRPr="00A068D8">
        <w:rPr>
          <w:rFonts w:asciiTheme="minorHAnsi" w:eastAsia="Arial" w:hAnsiTheme="minorHAnsi" w:cstheme="minorHAnsi"/>
          <w:sz w:val="20"/>
          <w:szCs w:val="20"/>
        </w:rPr>
        <w:t xml:space="preserve"> </w:t>
      </w:r>
      <w:r w:rsidR="00A068D8" w:rsidRPr="00A068D8">
        <w:rPr>
          <w:rFonts w:asciiTheme="minorHAnsi" w:eastAsia="Arial" w:hAnsiTheme="minorHAnsi" w:cstheme="minorHAnsi"/>
          <w:sz w:val="20"/>
          <w:szCs w:val="20"/>
        </w:rPr>
        <w:fldChar w:fldCharType="begin"/>
      </w:r>
      <w:r w:rsidR="00A068D8" w:rsidRPr="00A068D8">
        <w:rPr>
          <w:rFonts w:asciiTheme="minorHAnsi" w:eastAsia="Arial" w:hAnsiTheme="minorHAnsi" w:cstheme="minorHAnsi"/>
          <w:sz w:val="20"/>
          <w:szCs w:val="20"/>
        </w:rPr>
        <w:instrText xml:space="preserve"> ADDIN EN.CITE &lt;EndNote&gt;&lt;Cite&gt;&lt;Year&gt;2024&lt;/Year&gt;&lt;RecNum&gt;310&lt;/RecNum&gt;&lt;DisplayText&gt;&lt;style face="italic"&gt;Scully v Coucal Ltd&lt;/style&gt;&lt;/DisplayText&gt;&lt;record&gt;&lt;rec-number&gt;310&lt;/rec-number&gt;&lt;foreign-keys&gt;&lt;key app="EN" db-id="pps2xzrskvzsppeaxr755z5msaxwxe9dt9pv" timestamp="1751723989"&gt;310&lt;/key&gt;&lt;/foreign-keys&gt;&lt;ref-type name="Case"&gt;7&lt;/ref-type&gt;&lt;contributors&gt;&lt;tertiary-authors&gt;&lt;author&gt;Court of Appeal&lt;/author&gt;&lt;/tertiary-authors&gt;&lt;/contributors&gt;&lt;titles&gt;&lt;title&gt;Scully v Coucal Ltd&lt;/title&gt;&lt;/titles&gt;&lt;number&gt;IECA 104 &lt;/number&gt;&lt;dates&gt;&lt;year&gt;2024&lt;/year&gt;&lt;/dates&gt;&lt;publisher&gt;Court of Appeal&lt;/publisher&gt;&lt;urls&gt;&lt;/urls&gt;&lt;/record&gt;&lt;/Cite&gt;&lt;/EndNote&gt;</w:instrText>
      </w:r>
      <w:r w:rsidR="00A068D8" w:rsidRPr="00A068D8">
        <w:rPr>
          <w:rFonts w:asciiTheme="minorHAnsi" w:eastAsia="Arial" w:hAnsiTheme="minorHAnsi" w:cstheme="minorHAnsi"/>
          <w:sz w:val="20"/>
          <w:szCs w:val="20"/>
        </w:rPr>
        <w:fldChar w:fldCharType="separate"/>
      </w:r>
      <w:r w:rsidR="00A068D8" w:rsidRPr="00A068D8">
        <w:rPr>
          <w:rFonts w:asciiTheme="minorHAnsi" w:eastAsia="Arial" w:hAnsiTheme="minorHAnsi" w:cstheme="minorHAnsi"/>
          <w:i/>
          <w:noProof/>
          <w:sz w:val="20"/>
          <w:szCs w:val="20"/>
        </w:rPr>
        <w:t>Scully v Coucal Ltd</w:t>
      </w:r>
      <w:r w:rsidR="00A068D8" w:rsidRPr="00A068D8">
        <w:rPr>
          <w:rFonts w:asciiTheme="minorHAnsi" w:eastAsia="Arial" w:hAnsiTheme="minorHAnsi" w:cstheme="minorHAnsi"/>
          <w:sz w:val="20"/>
          <w:szCs w:val="20"/>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B" w14:textId="77777777" w:rsidR="0001123C" w:rsidRDefault="00000000">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0CB400BA" wp14:editId="708CA986">
          <wp:simplePos x="0" y="0"/>
          <wp:positionH relativeFrom="margin">
            <wp:posOffset>0</wp:posOffset>
          </wp:positionH>
          <wp:positionV relativeFrom="margin">
            <wp:posOffset>-598169</wp:posOffset>
          </wp:positionV>
          <wp:extent cx="1065378" cy="528857"/>
          <wp:effectExtent l="0" t="0" r="0" b="0"/>
          <wp:wrapSquare wrapText="bothSides" distT="0" distB="0" distL="114300" distR="114300"/>
          <wp:docPr id="1757453245" name="image1.png"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diagram&#10;&#10;Description automatically generated"/>
                  <pic:cNvPicPr preferRelativeResize="0"/>
                </pic:nvPicPr>
                <pic:blipFill>
                  <a:blip r:embed="rId1"/>
                  <a:srcRect/>
                  <a:stretch>
                    <a:fillRect/>
                  </a:stretch>
                </pic:blipFill>
                <pic:spPr>
                  <a:xfrm>
                    <a:off x="0" y="0"/>
                    <a:ext cx="1065378" cy="528857"/>
                  </a:xfrm>
                  <a:prstGeom prst="rect">
                    <a:avLst/>
                  </a:prstGeom>
                  <a:ln/>
                </pic:spPr>
              </pic:pic>
            </a:graphicData>
          </a:graphic>
        </wp:anchor>
      </w:drawing>
    </w:r>
    <w:r>
      <w:rPr>
        <w:noProof/>
      </w:rPr>
      <w:drawing>
        <wp:anchor distT="0" distB="0" distL="0" distR="0" simplePos="0" relativeHeight="251659264" behindDoc="1" locked="0" layoutInCell="1" hidden="0" allowOverlap="1" wp14:anchorId="5F505E3B" wp14:editId="293BF4A5">
          <wp:simplePos x="0" y="0"/>
          <wp:positionH relativeFrom="column">
            <wp:posOffset>4472849</wp:posOffset>
          </wp:positionH>
          <wp:positionV relativeFrom="paragraph">
            <wp:posOffset>-132837</wp:posOffset>
          </wp:positionV>
          <wp:extent cx="2139315" cy="737235"/>
          <wp:effectExtent l="0" t="0" r="0" b="0"/>
          <wp:wrapNone/>
          <wp:docPr id="201748189" name="image2.jp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close-up of a logo&#10;&#10;Description automatically generated"/>
                  <pic:cNvPicPr preferRelativeResize="0"/>
                </pic:nvPicPr>
                <pic:blipFill>
                  <a:blip r:embed="rId2"/>
                  <a:srcRect/>
                  <a:stretch>
                    <a:fillRect/>
                  </a:stretch>
                </pic:blipFill>
                <pic:spPr>
                  <a:xfrm>
                    <a:off x="0" y="0"/>
                    <a:ext cx="2139315" cy="7372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4073E"/>
    <w:multiLevelType w:val="hybridMultilevel"/>
    <w:tmpl w:val="A9B88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D7150"/>
    <w:multiLevelType w:val="multilevel"/>
    <w:tmpl w:val="92F06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74805809">
    <w:abstractNumId w:val="1"/>
  </w:num>
  <w:num w:numId="2" w16cid:durableId="143847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OSCOLA_4th_edn&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ps2xzrskvzsppeaxr755z5msaxwxe9dt9pv&quot;&gt;Fredesa Library 2&lt;record-ids&gt;&lt;item&gt;310&lt;/item&gt;&lt;item&gt;316&lt;/item&gt;&lt;/record-ids&gt;&lt;/item&gt;&lt;/Libraries&gt;"/>
  </w:docVars>
  <w:rsids>
    <w:rsidRoot w:val="0001123C"/>
    <w:rsid w:val="0001123C"/>
    <w:rsid w:val="000D7DA4"/>
    <w:rsid w:val="00304BA4"/>
    <w:rsid w:val="00443111"/>
    <w:rsid w:val="004A7FAD"/>
    <w:rsid w:val="004B5D35"/>
    <w:rsid w:val="004C0274"/>
    <w:rsid w:val="00526CAE"/>
    <w:rsid w:val="00561393"/>
    <w:rsid w:val="005A473F"/>
    <w:rsid w:val="005A4FE1"/>
    <w:rsid w:val="005A5534"/>
    <w:rsid w:val="0060648C"/>
    <w:rsid w:val="006B6B15"/>
    <w:rsid w:val="006D0E5B"/>
    <w:rsid w:val="006D3801"/>
    <w:rsid w:val="006E13D7"/>
    <w:rsid w:val="00742E57"/>
    <w:rsid w:val="007D6C6F"/>
    <w:rsid w:val="008260AB"/>
    <w:rsid w:val="008D6FB4"/>
    <w:rsid w:val="00914464"/>
    <w:rsid w:val="009310D6"/>
    <w:rsid w:val="0096187C"/>
    <w:rsid w:val="009A5D14"/>
    <w:rsid w:val="00A068D8"/>
    <w:rsid w:val="00A700E5"/>
    <w:rsid w:val="00AA0CF0"/>
    <w:rsid w:val="00AB2B70"/>
    <w:rsid w:val="00B474E3"/>
    <w:rsid w:val="00BD3252"/>
    <w:rsid w:val="00BF28F2"/>
    <w:rsid w:val="00C056E7"/>
    <w:rsid w:val="00C103DB"/>
    <w:rsid w:val="00C2074E"/>
    <w:rsid w:val="00C61687"/>
    <w:rsid w:val="00CB081D"/>
    <w:rsid w:val="00D0077F"/>
    <w:rsid w:val="00D264D3"/>
    <w:rsid w:val="00DA1685"/>
    <w:rsid w:val="00E80A0D"/>
    <w:rsid w:val="00E847A2"/>
    <w:rsid w:val="00EB625E"/>
    <w:rsid w:val="00EB637D"/>
    <w:rsid w:val="00F46BF4"/>
    <w:rsid w:val="00F91BE6"/>
    <w:rsid w:val="00FA2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E71A8"/>
  <w15:docId w15:val="{9F4E95B3-0558-1B4A-88F3-353198CA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line="276" w:lineRule="auto"/>
      <w:outlineLvl w:val="0"/>
    </w:pPr>
    <w:rPr>
      <w:b/>
      <w:color w:val="323E4F"/>
      <w:sz w:val="52"/>
      <w:szCs w:val="5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link w:val="TitleChar"/>
    <w:uiPriority w:val="10"/>
    <w:qFormat/>
    <w:pPr>
      <w:spacing w:after="200"/>
    </w:pPr>
    <w:rPr>
      <w:b/>
      <w:color w:val="44546A"/>
      <w:sz w:val="72"/>
      <w:szCs w:val="72"/>
    </w:rPr>
  </w:style>
  <w:style w:type="paragraph" w:styleId="ListParagraph">
    <w:name w:val="List Paragraph"/>
    <w:basedOn w:val="Normal"/>
    <w:uiPriority w:val="34"/>
    <w:qFormat/>
    <w:rsid w:val="00EC0319"/>
    <w:pPr>
      <w:ind w:left="720"/>
      <w:contextualSpacing/>
    </w:pPr>
  </w:style>
  <w:style w:type="character" w:customStyle="1" w:styleId="Heading1Char">
    <w:name w:val="Heading 1 Char"/>
    <w:basedOn w:val="DefaultParagraphFont"/>
    <w:link w:val="Heading1"/>
    <w:uiPriority w:val="4"/>
    <w:rsid w:val="0069439A"/>
    <w:rPr>
      <w:rFonts w:asciiTheme="majorHAnsi" w:eastAsiaTheme="majorEastAsia" w:hAnsiTheme="majorHAnsi" w:cstheme="majorBidi"/>
      <w:b/>
      <w:color w:val="323E4F" w:themeColor="text2" w:themeShade="BF"/>
      <w:kern w:val="28"/>
      <w:sz w:val="52"/>
      <w:szCs w:val="32"/>
      <w:lang w:val="en-US"/>
    </w:rPr>
  </w:style>
  <w:style w:type="character" w:customStyle="1" w:styleId="TitleChar">
    <w:name w:val="Title Char"/>
    <w:basedOn w:val="DefaultParagraphFont"/>
    <w:link w:val="Title"/>
    <w:uiPriority w:val="1"/>
    <w:rsid w:val="0069439A"/>
    <w:rPr>
      <w:rFonts w:asciiTheme="majorHAnsi" w:eastAsiaTheme="majorEastAsia" w:hAnsiTheme="majorHAnsi" w:cstheme="majorBidi"/>
      <w:b/>
      <w:bCs/>
      <w:color w:val="44546A" w:themeColor="text2"/>
      <w:kern w:val="0"/>
      <w:sz w:val="72"/>
      <w:szCs w:val="52"/>
      <w:lang w:val="en-US"/>
    </w:rPr>
  </w:style>
  <w:style w:type="character" w:customStyle="1" w:styleId="SubtitleChar">
    <w:name w:val="Subtitle Char"/>
    <w:basedOn w:val="DefaultParagraphFont"/>
    <w:link w:val="Subtitle"/>
    <w:uiPriority w:val="2"/>
    <w:rsid w:val="0069439A"/>
    <w:rPr>
      <w:rFonts w:eastAsiaTheme="minorEastAsia"/>
      <w:caps/>
      <w:color w:val="44546A" w:themeColor="text2"/>
      <w:spacing w:val="20"/>
      <w:kern w:val="0"/>
      <w:sz w:val="32"/>
      <w:szCs w:val="22"/>
      <w:lang w:val="en-US"/>
    </w:rPr>
  </w:style>
  <w:style w:type="paragraph" w:customStyle="1" w:styleId="Content">
    <w:name w:val="Content"/>
    <w:basedOn w:val="Normal"/>
    <w:link w:val="ContentChar"/>
    <w:qFormat/>
    <w:rsid w:val="0069439A"/>
    <w:pPr>
      <w:spacing w:line="276" w:lineRule="auto"/>
    </w:pPr>
    <w:rPr>
      <w:rFonts w:eastAsiaTheme="minorEastAsia"/>
      <w:color w:val="44546A" w:themeColor="text2"/>
      <w:sz w:val="28"/>
      <w:szCs w:val="22"/>
      <w:lang w:val="en-US"/>
    </w:rPr>
  </w:style>
  <w:style w:type="character" w:customStyle="1" w:styleId="ContentChar">
    <w:name w:val="Content Char"/>
    <w:basedOn w:val="DefaultParagraphFont"/>
    <w:link w:val="Content"/>
    <w:rsid w:val="0069439A"/>
    <w:rPr>
      <w:rFonts w:eastAsiaTheme="minorEastAsia"/>
      <w:color w:val="44546A" w:themeColor="text2"/>
      <w:kern w:val="0"/>
      <w:sz w:val="28"/>
      <w:szCs w:val="22"/>
      <w:lang w:val="en-US"/>
    </w:rPr>
  </w:style>
  <w:style w:type="paragraph" w:styleId="Header">
    <w:name w:val="header"/>
    <w:basedOn w:val="Normal"/>
    <w:link w:val="HeaderChar"/>
    <w:uiPriority w:val="99"/>
    <w:unhideWhenUsed/>
    <w:rsid w:val="0078640E"/>
    <w:pPr>
      <w:tabs>
        <w:tab w:val="center" w:pos="4680"/>
        <w:tab w:val="right" w:pos="9360"/>
      </w:tabs>
    </w:pPr>
  </w:style>
  <w:style w:type="character" w:customStyle="1" w:styleId="HeaderChar">
    <w:name w:val="Header Char"/>
    <w:basedOn w:val="DefaultParagraphFont"/>
    <w:link w:val="Header"/>
    <w:uiPriority w:val="99"/>
    <w:rsid w:val="0078640E"/>
  </w:style>
  <w:style w:type="paragraph" w:styleId="Footer">
    <w:name w:val="footer"/>
    <w:basedOn w:val="Normal"/>
    <w:link w:val="FooterChar"/>
    <w:uiPriority w:val="99"/>
    <w:unhideWhenUsed/>
    <w:rsid w:val="0078640E"/>
    <w:pPr>
      <w:tabs>
        <w:tab w:val="center" w:pos="4680"/>
        <w:tab w:val="right" w:pos="9360"/>
      </w:tabs>
    </w:pPr>
  </w:style>
  <w:style w:type="character" w:customStyle="1" w:styleId="FooterChar">
    <w:name w:val="Footer Char"/>
    <w:basedOn w:val="DefaultParagraphFont"/>
    <w:link w:val="Footer"/>
    <w:uiPriority w:val="99"/>
    <w:rsid w:val="0078640E"/>
  </w:style>
  <w:style w:type="paragraph" w:styleId="FootnoteText">
    <w:name w:val="footnote text"/>
    <w:basedOn w:val="Normal"/>
    <w:link w:val="FootnoteTextChar"/>
    <w:uiPriority w:val="99"/>
    <w:semiHidden/>
    <w:unhideWhenUsed/>
    <w:rsid w:val="00401A9F"/>
    <w:rPr>
      <w:sz w:val="20"/>
      <w:szCs w:val="20"/>
    </w:rPr>
  </w:style>
  <w:style w:type="character" w:customStyle="1" w:styleId="FootnoteTextChar">
    <w:name w:val="Footnote Text Char"/>
    <w:basedOn w:val="DefaultParagraphFont"/>
    <w:link w:val="FootnoteText"/>
    <w:uiPriority w:val="99"/>
    <w:semiHidden/>
    <w:rsid w:val="00401A9F"/>
    <w:rPr>
      <w:sz w:val="20"/>
      <w:szCs w:val="20"/>
    </w:rPr>
  </w:style>
  <w:style w:type="character" w:styleId="FootnoteReference">
    <w:name w:val="footnote reference"/>
    <w:basedOn w:val="DefaultParagraphFont"/>
    <w:uiPriority w:val="99"/>
    <w:semiHidden/>
    <w:unhideWhenUsed/>
    <w:rsid w:val="00401A9F"/>
    <w:rPr>
      <w:vertAlign w:val="superscript"/>
    </w:rPr>
  </w:style>
  <w:style w:type="character" w:styleId="Strong">
    <w:name w:val="Strong"/>
    <w:basedOn w:val="DefaultParagraphFont"/>
    <w:uiPriority w:val="22"/>
    <w:qFormat/>
    <w:rsid w:val="009130D7"/>
    <w:rPr>
      <w:b/>
      <w:bCs/>
    </w:rPr>
  </w:style>
  <w:style w:type="paragraph" w:styleId="NormalWeb">
    <w:name w:val="Normal (Web)"/>
    <w:basedOn w:val="Normal"/>
    <w:uiPriority w:val="99"/>
    <w:unhideWhenUsed/>
    <w:rsid w:val="009130D7"/>
    <w:pPr>
      <w:spacing w:before="100" w:beforeAutospacing="1" w:after="100" w:afterAutospacing="1"/>
    </w:pPr>
    <w:rPr>
      <w:rFonts w:ascii="Times New Roman" w:eastAsia="Times New Roman" w:hAnsi="Times New Roman" w:cs="Times New Roman"/>
      <w:lang w:val="de-DE" w:eastAsia="de-DE"/>
    </w:rPr>
  </w:style>
  <w:style w:type="paragraph" w:styleId="Subtitle">
    <w:name w:val="Subtitle"/>
    <w:basedOn w:val="Normal"/>
    <w:next w:val="Normal"/>
    <w:link w:val="SubtitleChar"/>
    <w:uiPriority w:val="11"/>
    <w:qFormat/>
    <w:pPr>
      <w:spacing w:line="276" w:lineRule="auto"/>
    </w:pPr>
    <w:rPr>
      <w:smallCaps/>
      <w:color w:val="44546A"/>
      <w:sz w:val="32"/>
      <w:szCs w:val="32"/>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46BF4"/>
  </w:style>
  <w:style w:type="paragraph" w:customStyle="1" w:styleId="EndNoteBibliographyTitle">
    <w:name w:val="EndNote Bibliography Title"/>
    <w:basedOn w:val="Normal"/>
    <w:link w:val="EndNoteBibliographyTitleChar"/>
    <w:rsid w:val="008D6FB4"/>
    <w:pPr>
      <w:jc w:val="center"/>
    </w:pPr>
    <w:rPr>
      <w:lang w:val="en-US"/>
    </w:rPr>
  </w:style>
  <w:style w:type="character" w:customStyle="1" w:styleId="EndNoteBibliographyTitleChar">
    <w:name w:val="EndNote Bibliography Title Char"/>
    <w:basedOn w:val="FootnoteTextChar"/>
    <w:link w:val="EndNoteBibliographyTitle"/>
    <w:rsid w:val="008D6FB4"/>
    <w:rPr>
      <w:sz w:val="20"/>
      <w:szCs w:val="20"/>
      <w:lang w:val="en-US"/>
    </w:rPr>
  </w:style>
  <w:style w:type="paragraph" w:customStyle="1" w:styleId="EndNoteBibliography">
    <w:name w:val="EndNote Bibliography"/>
    <w:basedOn w:val="Normal"/>
    <w:link w:val="EndNoteBibliographyChar"/>
    <w:rsid w:val="008D6FB4"/>
    <w:pPr>
      <w:jc w:val="both"/>
    </w:pPr>
    <w:rPr>
      <w:lang w:val="en-US"/>
    </w:rPr>
  </w:style>
  <w:style w:type="character" w:customStyle="1" w:styleId="EndNoteBibliographyChar">
    <w:name w:val="EndNote Bibliography Char"/>
    <w:basedOn w:val="FootnoteTextChar"/>
    <w:link w:val="EndNoteBibliography"/>
    <w:rsid w:val="008D6FB4"/>
    <w:rPr>
      <w:sz w:val="20"/>
      <w:szCs w:val="20"/>
      <w:lang w:val="en-US"/>
    </w:rPr>
  </w:style>
  <w:style w:type="character" w:styleId="Hyperlink">
    <w:name w:val="Hyperlink"/>
    <w:basedOn w:val="DefaultParagraphFont"/>
    <w:uiPriority w:val="99"/>
    <w:unhideWhenUsed/>
    <w:rsid w:val="00742E57"/>
    <w:rPr>
      <w:color w:val="0563C1" w:themeColor="hyperlink"/>
      <w:u w:val="single"/>
    </w:rPr>
  </w:style>
  <w:style w:type="character" w:styleId="UnresolvedMention">
    <w:name w:val="Unresolved Mention"/>
    <w:basedOn w:val="DefaultParagraphFont"/>
    <w:uiPriority w:val="99"/>
    <w:semiHidden/>
    <w:unhideWhenUsed/>
    <w:rsid w:val="00742E57"/>
    <w:rPr>
      <w:color w:val="605E5C"/>
      <w:shd w:val="clear" w:color="auto" w:fill="E1DFDD"/>
    </w:rPr>
  </w:style>
  <w:style w:type="character" w:styleId="Emphasis">
    <w:name w:val="Emphasis"/>
    <w:basedOn w:val="DefaultParagraphFont"/>
    <w:uiPriority w:val="20"/>
    <w:qFormat/>
    <w:rsid w:val="00D0077F"/>
    <w:rPr>
      <w:i/>
      <w:iCs/>
    </w:rPr>
  </w:style>
  <w:style w:type="paragraph" w:styleId="CommentSubject">
    <w:name w:val="annotation subject"/>
    <w:basedOn w:val="CommentText"/>
    <w:next w:val="CommentText"/>
    <w:link w:val="CommentSubjectChar"/>
    <w:uiPriority w:val="99"/>
    <w:semiHidden/>
    <w:unhideWhenUsed/>
    <w:rsid w:val="00443111"/>
    <w:rPr>
      <w:b/>
      <w:bCs/>
    </w:rPr>
  </w:style>
  <w:style w:type="character" w:customStyle="1" w:styleId="CommentSubjectChar">
    <w:name w:val="Comment Subject Char"/>
    <w:basedOn w:val="CommentTextChar"/>
    <w:link w:val="CommentSubject"/>
    <w:uiPriority w:val="99"/>
    <w:semiHidden/>
    <w:rsid w:val="004431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690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zw6dKqlsDI76AEtEWiyoYBhvkQ==">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5232</Words>
  <Characters>29826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Fredes</dc:creator>
  <cp:lastModifiedBy>Blanaid Clarke</cp:lastModifiedBy>
  <cp:revision>5</cp:revision>
  <dcterms:created xsi:type="dcterms:W3CDTF">2025-09-07T15:13:00Z</dcterms:created>
  <dcterms:modified xsi:type="dcterms:W3CDTF">2025-09-12T08:45:00Z</dcterms:modified>
</cp:coreProperties>
</file>