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86"/>
        <w:tblW w:w="9493" w:type="dxa"/>
        <w:tblLook w:val="04A0" w:firstRow="1" w:lastRow="0" w:firstColumn="1" w:lastColumn="0" w:noHBand="0" w:noVBand="1"/>
      </w:tblPr>
      <w:tblGrid>
        <w:gridCol w:w="3397"/>
        <w:gridCol w:w="6096"/>
      </w:tblGrid>
      <w:tr w:rsidR="005B42FF" w14:paraId="0DC0A528" w14:textId="77777777" w:rsidTr="00D85063">
        <w:tc>
          <w:tcPr>
            <w:tcW w:w="9493" w:type="dxa"/>
            <w:gridSpan w:val="2"/>
            <w:tcBorders>
              <w:top w:val="single" w:sz="4" w:space="0" w:color="auto"/>
              <w:left w:val="single" w:sz="4" w:space="0" w:color="auto"/>
              <w:bottom w:val="single" w:sz="4" w:space="0" w:color="auto"/>
              <w:right w:val="single" w:sz="4" w:space="0" w:color="auto"/>
            </w:tcBorders>
            <w:hideMark/>
          </w:tcPr>
          <w:p w14:paraId="184AEF07" w14:textId="575077FF" w:rsidR="005B42FF" w:rsidRDefault="005B42FF" w:rsidP="00D85063">
            <w:pPr>
              <w:rPr>
                <w:b/>
                <w:sz w:val="36"/>
                <w:szCs w:val="36"/>
              </w:rPr>
            </w:pPr>
            <w:r>
              <w:rPr>
                <w:b/>
                <w:color w:val="0070C0"/>
                <w:sz w:val="36"/>
                <w:szCs w:val="36"/>
              </w:rPr>
              <w:t>CBL</w:t>
            </w:r>
            <w:r w:rsidR="00311E59">
              <w:rPr>
                <w:b/>
                <w:color w:val="0070C0"/>
                <w:sz w:val="36"/>
                <w:szCs w:val="36"/>
              </w:rPr>
              <w:t>/CBR</w:t>
            </w:r>
            <w:r>
              <w:rPr>
                <w:b/>
                <w:color w:val="0070C0"/>
                <w:sz w:val="36"/>
                <w:szCs w:val="36"/>
              </w:rPr>
              <w:t xml:space="preserve"> Case Study Template</w:t>
            </w:r>
            <w:r w:rsidR="0046632F">
              <w:rPr>
                <w:b/>
                <w:color w:val="0070C0"/>
                <w:sz w:val="36"/>
                <w:szCs w:val="36"/>
              </w:rPr>
              <w:t xml:space="preserve"> for campusengage.ie</w:t>
            </w:r>
          </w:p>
        </w:tc>
      </w:tr>
      <w:tr w:rsidR="00311E59" w14:paraId="64423056" w14:textId="77777777" w:rsidTr="00D85063">
        <w:tc>
          <w:tcPr>
            <w:tcW w:w="9493" w:type="dxa"/>
            <w:gridSpan w:val="2"/>
            <w:tcBorders>
              <w:top w:val="single" w:sz="4" w:space="0" w:color="auto"/>
              <w:left w:val="single" w:sz="4" w:space="0" w:color="auto"/>
              <w:bottom w:val="single" w:sz="4" w:space="0" w:color="auto"/>
              <w:right w:val="single" w:sz="4" w:space="0" w:color="auto"/>
            </w:tcBorders>
          </w:tcPr>
          <w:p w14:paraId="06DD554D" w14:textId="1EA1AC82" w:rsidR="00311E59" w:rsidRPr="00311E59" w:rsidRDefault="00311E59" w:rsidP="00311E59">
            <w:pPr>
              <w:rPr>
                <w:sz w:val="24"/>
                <w:szCs w:val="36"/>
              </w:rPr>
            </w:pPr>
            <w:r w:rsidRPr="00311E59">
              <w:rPr>
                <w:sz w:val="24"/>
                <w:szCs w:val="36"/>
              </w:rPr>
              <w:t>Community-</w:t>
            </w:r>
            <w:r w:rsidR="00FC1C2F">
              <w:rPr>
                <w:sz w:val="24"/>
                <w:szCs w:val="36"/>
              </w:rPr>
              <w:t>based</w:t>
            </w:r>
            <w:r w:rsidRPr="00311E59">
              <w:rPr>
                <w:sz w:val="24"/>
                <w:szCs w:val="36"/>
              </w:rPr>
              <w:t xml:space="preserve"> learning and research are academic approaches that seeks to</w:t>
            </w:r>
          </w:p>
          <w:p w14:paraId="741E0CB0" w14:textId="77777777" w:rsidR="00311E59" w:rsidRPr="00311E59" w:rsidRDefault="00311E59" w:rsidP="00311E59">
            <w:pPr>
              <w:rPr>
                <w:sz w:val="24"/>
                <w:szCs w:val="36"/>
              </w:rPr>
            </w:pPr>
            <w:r w:rsidRPr="00311E59">
              <w:rPr>
                <w:sz w:val="24"/>
                <w:szCs w:val="36"/>
              </w:rPr>
              <w:t>engage and accredit students, within the curriculum, for working in partnership with</w:t>
            </w:r>
          </w:p>
          <w:p w14:paraId="08D165FC" w14:textId="3FD9B21A" w:rsidR="00311E59" w:rsidRDefault="00311E59" w:rsidP="00311E59">
            <w:pPr>
              <w:rPr>
                <w:b/>
                <w:color w:val="0070C0"/>
                <w:sz w:val="36"/>
                <w:szCs w:val="36"/>
              </w:rPr>
            </w:pPr>
            <w:r w:rsidRPr="00311E59">
              <w:rPr>
                <w:sz w:val="24"/>
                <w:szCs w:val="36"/>
              </w:rPr>
              <w:t xml:space="preserve">civic and civil society organisations (CSOs) to act on local societal challenges. </w:t>
            </w:r>
          </w:p>
        </w:tc>
      </w:tr>
      <w:tr w:rsidR="005B42FF" w14:paraId="150ED3C5" w14:textId="77777777" w:rsidTr="005E4018">
        <w:tc>
          <w:tcPr>
            <w:tcW w:w="3397" w:type="dxa"/>
            <w:tcBorders>
              <w:top w:val="single" w:sz="4" w:space="0" w:color="auto"/>
              <w:left w:val="single" w:sz="4" w:space="0" w:color="auto"/>
              <w:bottom w:val="single" w:sz="4" w:space="0" w:color="auto"/>
              <w:right w:val="single" w:sz="4" w:space="0" w:color="auto"/>
            </w:tcBorders>
            <w:hideMark/>
          </w:tcPr>
          <w:p w14:paraId="328C9931" w14:textId="603CBA1A" w:rsidR="005B42FF" w:rsidRPr="005B42FF" w:rsidRDefault="005B42FF" w:rsidP="00D85063">
            <w:pPr>
              <w:rPr>
                <w:b/>
                <w:sz w:val="24"/>
              </w:rPr>
            </w:pPr>
            <w:r w:rsidRPr="005B42FF">
              <w:rPr>
                <w:b/>
                <w:sz w:val="24"/>
              </w:rPr>
              <w:t>Project Title</w:t>
            </w:r>
            <w:r w:rsidR="00361FC6">
              <w:rPr>
                <w:b/>
                <w:sz w:val="24"/>
              </w:rPr>
              <w:t>:</w:t>
            </w:r>
            <w:r w:rsidRPr="005B42FF">
              <w:rPr>
                <w:b/>
                <w:sz w:val="24"/>
              </w:rPr>
              <w:t xml:space="preserve"> </w:t>
            </w:r>
          </w:p>
        </w:tc>
        <w:tc>
          <w:tcPr>
            <w:tcW w:w="6096" w:type="dxa"/>
            <w:tcBorders>
              <w:top w:val="single" w:sz="4" w:space="0" w:color="auto"/>
              <w:left w:val="single" w:sz="4" w:space="0" w:color="auto"/>
              <w:bottom w:val="single" w:sz="4" w:space="0" w:color="auto"/>
              <w:right w:val="single" w:sz="4" w:space="0" w:color="auto"/>
            </w:tcBorders>
          </w:tcPr>
          <w:p w14:paraId="1455FB24" w14:textId="1986618F" w:rsidR="00857F2B" w:rsidRPr="004F353A" w:rsidRDefault="00B062BB" w:rsidP="00857F2B">
            <w:pPr>
              <w:rPr>
                <w:rFonts w:cstheme="minorHAnsi"/>
                <w:b/>
                <w:color w:val="0070C0"/>
                <w:sz w:val="24"/>
              </w:rPr>
            </w:pPr>
            <w:r>
              <w:rPr>
                <w:rFonts w:cstheme="minorHAnsi"/>
                <w:b/>
                <w:color w:val="0070C0"/>
                <w:sz w:val="24"/>
              </w:rPr>
              <w:t>Universal Design Innovation</w:t>
            </w:r>
          </w:p>
          <w:p w14:paraId="56DDC657" w14:textId="47EC634A" w:rsidR="004D7888" w:rsidRPr="00857F2B" w:rsidRDefault="004D7888" w:rsidP="00D85063">
            <w:pPr>
              <w:rPr>
                <w:rFonts w:cstheme="minorHAnsi"/>
              </w:rPr>
            </w:pPr>
          </w:p>
        </w:tc>
      </w:tr>
      <w:tr w:rsidR="005E4018" w14:paraId="61769C51" w14:textId="77777777" w:rsidTr="005E4018">
        <w:tc>
          <w:tcPr>
            <w:tcW w:w="3397" w:type="dxa"/>
            <w:tcBorders>
              <w:top w:val="single" w:sz="4" w:space="0" w:color="auto"/>
              <w:left w:val="single" w:sz="4" w:space="0" w:color="auto"/>
              <w:bottom w:val="single" w:sz="4" w:space="0" w:color="auto"/>
              <w:right w:val="single" w:sz="4" w:space="0" w:color="auto"/>
            </w:tcBorders>
          </w:tcPr>
          <w:p w14:paraId="144029FE" w14:textId="797E3496" w:rsidR="005E4018" w:rsidRPr="005B42FF" w:rsidRDefault="005E4018" w:rsidP="00D85063">
            <w:pPr>
              <w:rPr>
                <w:b/>
                <w:sz w:val="24"/>
              </w:rPr>
            </w:pPr>
            <w:r>
              <w:rPr>
                <w:b/>
                <w:sz w:val="24"/>
              </w:rPr>
              <w:t xml:space="preserve">Brief overview of project: </w:t>
            </w:r>
            <w:r w:rsidR="00ED3404">
              <w:rPr>
                <w:b/>
                <w:sz w:val="24"/>
              </w:rPr>
              <w:t>(60 max)</w:t>
            </w:r>
          </w:p>
        </w:tc>
        <w:tc>
          <w:tcPr>
            <w:tcW w:w="6096" w:type="dxa"/>
            <w:tcBorders>
              <w:top w:val="single" w:sz="4" w:space="0" w:color="auto"/>
              <w:left w:val="single" w:sz="4" w:space="0" w:color="auto"/>
              <w:bottom w:val="single" w:sz="4" w:space="0" w:color="auto"/>
              <w:right w:val="single" w:sz="4" w:space="0" w:color="auto"/>
            </w:tcBorders>
          </w:tcPr>
          <w:p w14:paraId="7C97AA8B" w14:textId="04DED38D" w:rsidR="005E4018" w:rsidRPr="00A02FC9" w:rsidRDefault="00B062BB" w:rsidP="00857F2B">
            <w:pPr>
              <w:rPr>
                <w:rFonts w:cstheme="minorHAnsi"/>
                <w:b/>
                <w:color w:val="0070C0"/>
              </w:rPr>
            </w:pPr>
            <w:r>
              <w:rPr>
                <w:rFonts w:cs="Calibri"/>
                <w:lang w:val="en-US"/>
              </w:rPr>
              <w:t xml:space="preserve">Students in the School of Engineering participate in a compulsory 10ECTS “Service Learning” </w:t>
            </w:r>
            <w:r>
              <w:rPr>
                <w:rFonts w:cs="Calibri"/>
              </w:rPr>
              <w:t>module,</w:t>
            </w:r>
            <w:r>
              <w:rPr>
                <w:rFonts w:cs="Calibri"/>
                <w:lang w:val="en-US"/>
              </w:rPr>
              <w:t xml:space="preserve"> working with community groups to help </w:t>
            </w:r>
            <w:r>
              <w:rPr>
                <w:rFonts w:cs="Calibri"/>
              </w:rPr>
              <w:t>address genuine user needs. The module which I designed and developed is called “</w:t>
            </w:r>
            <w:r>
              <w:rPr>
                <w:rFonts w:eastAsia="Calibri" w:cs="Footlight MT Light"/>
              </w:rPr>
              <w:t>Universal Design Innovation</w:t>
            </w:r>
            <w:r>
              <w:rPr>
                <w:rFonts w:cs="Calibri"/>
              </w:rPr>
              <w:t>” (UDI). The students work in small design teams, focussed on solving universal difficulties experienced by people in the community related to their Activities for Daily Living (ADLs).</w:t>
            </w:r>
          </w:p>
        </w:tc>
      </w:tr>
      <w:tr w:rsidR="005B42FF" w14:paraId="324C191D" w14:textId="77777777" w:rsidTr="005E4018">
        <w:tc>
          <w:tcPr>
            <w:tcW w:w="3397" w:type="dxa"/>
            <w:tcBorders>
              <w:top w:val="single" w:sz="4" w:space="0" w:color="auto"/>
              <w:left w:val="single" w:sz="4" w:space="0" w:color="auto"/>
              <w:bottom w:val="single" w:sz="4" w:space="0" w:color="auto"/>
              <w:right w:val="single" w:sz="4" w:space="0" w:color="auto"/>
            </w:tcBorders>
            <w:hideMark/>
          </w:tcPr>
          <w:p w14:paraId="74DEF013" w14:textId="14BC5422" w:rsidR="005B42FF" w:rsidRPr="005B42FF" w:rsidRDefault="005B42FF" w:rsidP="00D85063">
            <w:pPr>
              <w:rPr>
                <w:b/>
                <w:sz w:val="24"/>
              </w:rPr>
            </w:pPr>
            <w:r w:rsidRPr="005B42FF">
              <w:rPr>
                <w:b/>
                <w:sz w:val="24"/>
              </w:rPr>
              <w:t>Community Partner(s)</w:t>
            </w:r>
            <w:r w:rsidR="00361FC6">
              <w:rPr>
                <w:b/>
                <w:sz w:val="24"/>
              </w:rPr>
              <w:t>:</w:t>
            </w:r>
          </w:p>
        </w:tc>
        <w:tc>
          <w:tcPr>
            <w:tcW w:w="6096" w:type="dxa"/>
            <w:tcBorders>
              <w:top w:val="single" w:sz="4" w:space="0" w:color="auto"/>
              <w:left w:val="single" w:sz="4" w:space="0" w:color="auto"/>
              <w:bottom w:val="single" w:sz="4" w:space="0" w:color="auto"/>
              <w:right w:val="single" w:sz="4" w:space="0" w:color="auto"/>
            </w:tcBorders>
          </w:tcPr>
          <w:p w14:paraId="7FD11986" w14:textId="77777777" w:rsidR="00B062BB" w:rsidRDefault="00B062BB" w:rsidP="00B062BB">
            <w:pPr>
              <w:spacing w:line="276" w:lineRule="auto"/>
              <w:jc w:val="both"/>
              <w:rPr>
                <w:rFonts w:cs="Calibri"/>
              </w:rPr>
            </w:pPr>
            <w:r>
              <w:rPr>
                <w:rFonts w:cs="Calibri"/>
              </w:rPr>
              <w:t xml:space="preserve">The students form their own user and stakeholder groups comprising of elderly, infirmed or disabled relatives, clinicians, medical device engineers, carers, occupational therapists, pharmacists etc. as well as groups such as Age Ireland, TILDA, </w:t>
            </w:r>
            <w:r>
              <w:rPr>
                <w:rFonts w:cs="Times New Roman"/>
              </w:rPr>
              <w:t>Mercer's Institute for Successful Ageing</w:t>
            </w:r>
            <w:r>
              <w:rPr>
                <w:rFonts w:cs="Calibri"/>
              </w:rPr>
              <w:t xml:space="preserve"> (St. James Hospital), specialist consumer group representatives from the National Standards Authority Ireland (NSAI)  and especially community groups such as local nursing homes, NCBI – Working for People with Sight Loss and the National Disability Authority.</w:t>
            </w:r>
          </w:p>
          <w:p w14:paraId="27ACFBFE" w14:textId="0D2615A1" w:rsidR="005B42FF" w:rsidRPr="00857F2B" w:rsidRDefault="005B42FF" w:rsidP="00D85063">
            <w:pPr>
              <w:rPr>
                <w:rFonts w:cstheme="minorHAnsi"/>
              </w:rPr>
            </w:pPr>
          </w:p>
        </w:tc>
      </w:tr>
      <w:tr w:rsidR="005B42FF" w14:paraId="542F612A" w14:textId="77777777" w:rsidTr="005E4018">
        <w:tc>
          <w:tcPr>
            <w:tcW w:w="3397" w:type="dxa"/>
            <w:tcBorders>
              <w:top w:val="single" w:sz="4" w:space="0" w:color="auto"/>
              <w:left w:val="single" w:sz="4" w:space="0" w:color="auto"/>
              <w:bottom w:val="single" w:sz="4" w:space="0" w:color="auto"/>
              <w:right w:val="single" w:sz="4" w:space="0" w:color="auto"/>
            </w:tcBorders>
          </w:tcPr>
          <w:p w14:paraId="2C6C3F35" w14:textId="17F46A48" w:rsidR="005B42FF" w:rsidRPr="005B42FF" w:rsidRDefault="005B42FF" w:rsidP="00D85063">
            <w:pPr>
              <w:rPr>
                <w:b/>
                <w:sz w:val="24"/>
              </w:rPr>
            </w:pPr>
            <w:r w:rsidRPr="005B42FF">
              <w:rPr>
                <w:b/>
                <w:sz w:val="24"/>
              </w:rPr>
              <w:t>Faculty</w:t>
            </w:r>
            <w:r w:rsidR="00361FC6">
              <w:rPr>
                <w:b/>
                <w:sz w:val="24"/>
              </w:rPr>
              <w:t>:</w:t>
            </w:r>
          </w:p>
        </w:tc>
        <w:tc>
          <w:tcPr>
            <w:tcW w:w="6096" w:type="dxa"/>
            <w:tcBorders>
              <w:top w:val="single" w:sz="4" w:space="0" w:color="auto"/>
              <w:left w:val="single" w:sz="4" w:space="0" w:color="auto"/>
              <w:bottom w:val="single" w:sz="4" w:space="0" w:color="auto"/>
              <w:right w:val="single" w:sz="4" w:space="0" w:color="auto"/>
            </w:tcBorders>
          </w:tcPr>
          <w:p w14:paraId="4FC1ADA5" w14:textId="404C5ED1" w:rsidR="005B42FF" w:rsidRPr="00857F2B" w:rsidRDefault="00B062BB" w:rsidP="00D85063">
            <w:pPr>
              <w:rPr>
                <w:rFonts w:cstheme="minorHAnsi"/>
              </w:rPr>
            </w:pPr>
            <w:r>
              <w:rPr>
                <w:rFonts w:cstheme="minorHAnsi"/>
              </w:rPr>
              <w:t>School of Engineering, Trinity College Dublin, the University of Dublin</w:t>
            </w:r>
          </w:p>
        </w:tc>
      </w:tr>
      <w:tr w:rsidR="005B42FF" w14:paraId="11BA0C15" w14:textId="77777777" w:rsidTr="005E4018">
        <w:trPr>
          <w:trHeight w:val="2117"/>
        </w:trPr>
        <w:tc>
          <w:tcPr>
            <w:tcW w:w="3397" w:type="dxa"/>
            <w:tcBorders>
              <w:top w:val="single" w:sz="4" w:space="0" w:color="auto"/>
              <w:left w:val="single" w:sz="4" w:space="0" w:color="auto"/>
              <w:bottom w:val="single" w:sz="4" w:space="0" w:color="auto"/>
              <w:right w:val="single" w:sz="4" w:space="0" w:color="auto"/>
            </w:tcBorders>
          </w:tcPr>
          <w:p w14:paraId="622D4761" w14:textId="39F42D1A" w:rsidR="00C35150" w:rsidRDefault="005E4018" w:rsidP="00D85063">
            <w:pPr>
              <w:rPr>
                <w:b/>
                <w:sz w:val="24"/>
              </w:rPr>
            </w:pPr>
            <w:r>
              <w:rPr>
                <w:b/>
                <w:sz w:val="24"/>
              </w:rPr>
              <w:t xml:space="preserve">Brief outline on </w:t>
            </w:r>
            <w:r w:rsidR="00ED3404">
              <w:rPr>
                <w:b/>
                <w:sz w:val="24"/>
              </w:rPr>
              <w:t>c</w:t>
            </w:r>
            <w:r w:rsidR="005B42FF" w:rsidRPr="005B42FF">
              <w:rPr>
                <w:b/>
                <w:sz w:val="24"/>
              </w:rPr>
              <w:t xml:space="preserve">ommunity-based learning/research activity </w:t>
            </w:r>
            <w:r w:rsidR="00ED3404">
              <w:rPr>
                <w:b/>
                <w:sz w:val="24"/>
              </w:rPr>
              <w:t>(800 words max)</w:t>
            </w:r>
          </w:p>
          <w:p w14:paraId="38AF7A60" w14:textId="4FCA41AC" w:rsidR="005B42FF" w:rsidRPr="005B42FF" w:rsidRDefault="005B42FF" w:rsidP="00D85063">
            <w:pPr>
              <w:rPr>
                <w:b/>
                <w:sz w:val="24"/>
              </w:rPr>
            </w:pPr>
          </w:p>
        </w:tc>
        <w:tc>
          <w:tcPr>
            <w:tcW w:w="6096" w:type="dxa"/>
            <w:tcBorders>
              <w:top w:val="single" w:sz="4" w:space="0" w:color="auto"/>
              <w:left w:val="single" w:sz="4" w:space="0" w:color="auto"/>
              <w:bottom w:val="single" w:sz="4" w:space="0" w:color="auto"/>
              <w:right w:val="single" w:sz="4" w:space="0" w:color="auto"/>
            </w:tcBorders>
          </w:tcPr>
          <w:p w14:paraId="5196B9C0" w14:textId="77777777" w:rsidR="00ED3404" w:rsidRDefault="00C35150" w:rsidP="00D85063">
            <w:pPr>
              <w:rPr>
                <w:rFonts w:cstheme="minorHAnsi"/>
              </w:rPr>
            </w:pPr>
            <w:r w:rsidRPr="00857F2B">
              <w:rPr>
                <w:rFonts w:cstheme="minorHAnsi"/>
              </w:rPr>
              <w:t xml:space="preserve">Data was collected from the community residents and </w:t>
            </w:r>
            <w:r w:rsidR="00ED3404">
              <w:rPr>
                <w:rFonts w:cstheme="minorHAnsi"/>
              </w:rPr>
              <w:t xml:space="preserve">which </w:t>
            </w:r>
            <w:r w:rsidRPr="00857F2B">
              <w:rPr>
                <w:rFonts w:cstheme="minorHAnsi"/>
              </w:rPr>
              <w:t xml:space="preserve">allowed the </w:t>
            </w:r>
            <w:r w:rsidR="00ED3404">
              <w:rPr>
                <w:rFonts w:cstheme="minorHAnsi"/>
              </w:rPr>
              <w:t xml:space="preserve">student </w:t>
            </w:r>
            <w:r w:rsidRPr="00857F2B">
              <w:rPr>
                <w:rFonts w:cstheme="minorHAnsi"/>
              </w:rPr>
              <w:t xml:space="preserve">researcher to measure the energy requirements and carbon intensity of the community. </w:t>
            </w:r>
          </w:p>
          <w:p w14:paraId="1EEF6102" w14:textId="77777777" w:rsidR="00C35150" w:rsidRPr="00857F2B" w:rsidRDefault="00C35150" w:rsidP="00D85063">
            <w:pPr>
              <w:rPr>
                <w:rFonts w:cstheme="minorHAnsi"/>
              </w:rPr>
            </w:pPr>
          </w:p>
          <w:p w14:paraId="5CD3B6D6" w14:textId="77777777" w:rsidR="00ED3404" w:rsidRDefault="00C35150" w:rsidP="00D85063">
            <w:pPr>
              <w:rPr>
                <w:rFonts w:cstheme="minorHAnsi"/>
              </w:rPr>
            </w:pPr>
            <w:r w:rsidRPr="00857F2B">
              <w:rPr>
                <w:rFonts w:cstheme="minorHAnsi"/>
              </w:rPr>
              <w:t>Through the development of appropriate methodologies to measure the energy requirements and carbon intensity of the community</w:t>
            </w:r>
            <w:r w:rsidR="00ED3404">
              <w:rPr>
                <w:rFonts w:cstheme="minorHAnsi"/>
              </w:rPr>
              <w:t>,</w:t>
            </w:r>
            <w:r w:rsidRPr="00857F2B">
              <w:rPr>
                <w:rFonts w:cstheme="minorHAnsi"/>
              </w:rPr>
              <w:t xml:space="preserve"> a carbon account and a material flow account of the community was completed. </w:t>
            </w:r>
          </w:p>
          <w:p w14:paraId="1FA66287" w14:textId="77777777" w:rsidR="00ED3404" w:rsidRDefault="00ED3404" w:rsidP="00D85063">
            <w:pPr>
              <w:rPr>
                <w:rFonts w:cstheme="minorHAnsi"/>
              </w:rPr>
            </w:pPr>
          </w:p>
          <w:p w14:paraId="75594930" w14:textId="77777777" w:rsidR="00ED3404" w:rsidRDefault="00C35150" w:rsidP="00D85063">
            <w:pPr>
              <w:rPr>
                <w:rFonts w:cstheme="minorHAnsi"/>
              </w:rPr>
            </w:pPr>
            <w:r w:rsidRPr="00857F2B">
              <w:rPr>
                <w:rFonts w:cstheme="minorHAnsi"/>
              </w:rPr>
              <w:t xml:space="preserve">In addition, participation in the Global Protocol for Community-Scale Greenhouse Gas Emissions (GPC) Pilot </w:t>
            </w:r>
            <w:r w:rsidR="00ED3404">
              <w:rPr>
                <w:rFonts w:cstheme="minorHAnsi"/>
              </w:rPr>
              <w:t xml:space="preserve">project </w:t>
            </w:r>
            <w:r w:rsidRPr="00857F2B">
              <w:rPr>
                <w:rFonts w:cstheme="minorHAnsi"/>
              </w:rPr>
              <w:t xml:space="preserve">produced a complete inventory of Greenhouse Gas emissions that occur as a result of the activities of residents within the community. </w:t>
            </w:r>
          </w:p>
          <w:p w14:paraId="5B92EC18" w14:textId="77777777" w:rsidR="00ED3404" w:rsidRDefault="00C35150" w:rsidP="00D85063">
            <w:pPr>
              <w:rPr>
                <w:rFonts w:cstheme="minorHAnsi"/>
              </w:rPr>
            </w:pPr>
            <w:r w:rsidRPr="00857F2B">
              <w:rPr>
                <w:rFonts w:cstheme="minorHAnsi"/>
              </w:rPr>
              <w:t>The project reviewed and assessed the effect that targeted policies can have on the sustainability of this Irish rural community using the published Sustainability Evaluation Metric for Policies Recommendation (</w:t>
            </w:r>
            <w:proofErr w:type="spellStart"/>
            <w:r w:rsidRPr="00857F2B">
              <w:rPr>
                <w:rFonts w:cstheme="minorHAnsi"/>
              </w:rPr>
              <w:t>SEMPRe</w:t>
            </w:r>
            <w:proofErr w:type="spellEnd"/>
            <w:r w:rsidRPr="00857F2B">
              <w:rPr>
                <w:rFonts w:cstheme="minorHAnsi"/>
              </w:rPr>
              <w:t xml:space="preserve">) Model. </w:t>
            </w:r>
          </w:p>
          <w:p w14:paraId="56707529" w14:textId="77777777" w:rsidR="00ED3404" w:rsidRDefault="00ED3404" w:rsidP="00D85063">
            <w:pPr>
              <w:rPr>
                <w:rFonts w:cstheme="minorHAnsi"/>
              </w:rPr>
            </w:pPr>
          </w:p>
          <w:p w14:paraId="3EF680DA" w14:textId="334B80B5" w:rsidR="00C35150" w:rsidRPr="00857F2B" w:rsidRDefault="00C35150" w:rsidP="00D85063">
            <w:pPr>
              <w:rPr>
                <w:rFonts w:cstheme="minorHAnsi"/>
              </w:rPr>
            </w:pPr>
            <w:r w:rsidRPr="00857F2B">
              <w:rPr>
                <w:rFonts w:cstheme="minorHAnsi"/>
              </w:rPr>
              <w:t xml:space="preserve">The </w:t>
            </w:r>
            <w:proofErr w:type="spellStart"/>
            <w:r w:rsidRPr="00857F2B">
              <w:rPr>
                <w:rFonts w:cstheme="minorHAnsi"/>
              </w:rPr>
              <w:t>SEMPRe</w:t>
            </w:r>
            <w:proofErr w:type="spellEnd"/>
            <w:r w:rsidRPr="00857F2B">
              <w:rPr>
                <w:rFonts w:cstheme="minorHAnsi"/>
              </w:rPr>
              <w:t xml:space="preserve"> Model was adapted to quantify the effectiveness of candidate policies selected as appropriate for rural communities to increase the Sustainable Development Index (SDI) of the community. Futures Scenarios, both technological and behavioural, have been developed to guide the BEP+C</w:t>
            </w:r>
            <w:r w:rsidR="00ED3404">
              <w:rPr>
                <w:rFonts w:cstheme="minorHAnsi"/>
              </w:rPr>
              <w:t>.</w:t>
            </w:r>
          </w:p>
        </w:tc>
      </w:tr>
      <w:tr w:rsidR="005B42FF" w14:paraId="4B2ECFD6" w14:textId="77777777" w:rsidTr="005E4018">
        <w:trPr>
          <w:trHeight w:val="557"/>
        </w:trPr>
        <w:tc>
          <w:tcPr>
            <w:tcW w:w="3397" w:type="dxa"/>
            <w:tcBorders>
              <w:top w:val="single" w:sz="4" w:space="0" w:color="auto"/>
              <w:left w:val="single" w:sz="4" w:space="0" w:color="auto"/>
              <w:bottom w:val="single" w:sz="4" w:space="0" w:color="auto"/>
              <w:right w:val="single" w:sz="4" w:space="0" w:color="auto"/>
            </w:tcBorders>
          </w:tcPr>
          <w:p w14:paraId="296E2FC9" w14:textId="1D7F8498" w:rsidR="005B42FF" w:rsidRPr="005B42FF" w:rsidRDefault="005B42FF" w:rsidP="00D85063">
            <w:pPr>
              <w:rPr>
                <w:b/>
                <w:sz w:val="24"/>
              </w:rPr>
            </w:pPr>
            <w:r w:rsidRPr="005B42FF">
              <w:rPr>
                <w:b/>
                <w:bCs/>
                <w:sz w:val="24"/>
                <w:lang w:val="en-GB"/>
              </w:rPr>
              <w:lastRenderedPageBreak/>
              <w:t xml:space="preserve">Student learning outcomes: </w:t>
            </w:r>
            <w:r w:rsidRPr="005B42FF">
              <w:rPr>
                <w:sz w:val="24"/>
              </w:rPr>
              <w:t xml:space="preserve"> </w:t>
            </w:r>
            <w:r w:rsidRPr="005B42FF">
              <w:rPr>
                <w:b/>
                <w:bCs/>
                <w:color w:val="FF0000"/>
                <w:sz w:val="24"/>
                <w:lang w:val="en-GB"/>
              </w:rPr>
              <w:t>please list</w:t>
            </w:r>
            <w:r w:rsidR="00311E59">
              <w:rPr>
                <w:b/>
                <w:bCs/>
                <w:color w:val="FF0000"/>
                <w:sz w:val="24"/>
                <w:lang w:val="en-GB"/>
              </w:rPr>
              <w:t xml:space="preserve"> and detail</w:t>
            </w:r>
            <w:r w:rsidRPr="005B42FF">
              <w:rPr>
                <w:b/>
                <w:bCs/>
                <w:color w:val="FF0000"/>
                <w:sz w:val="24"/>
                <w:lang w:val="en-GB"/>
              </w:rPr>
              <w:t xml:space="preserve"> the various learning outcomes</w:t>
            </w:r>
            <w:r w:rsidR="00311E59">
              <w:rPr>
                <w:b/>
                <w:bCs/>
                <w:color w:val="FF0000"/>
                <w:sz w:val="24"/>
                <w:lang w:val="en-GB"/>
              </w:rPr>
              <w:t xml:space="preserve"> e.g.</w:t>
            </w:r>
            <w:r w:rsidRPr="005B42FF">
              <w:rPr>
                <w:b/>
                <w:bCs/>
                <w:color w:val="FF0000"/>
                <w:sz w:val="24"/>
                <w:lang w:val="en-GB"/>
              </w:rPr>
              <w:t xml:space="preserve"> effective communication, high level cognitive, intercultural, leadership, entrepreneurial agility, analytical and interpersonal skills, (set out in Ireland’s National Skills Strategy 2025).</w:t>
            </w:r>
          </w:p>
        </w:tc>
        <w:tc>
          <w:tcPr>
            <w:tcW w:w="6096" w:type="dxa"/>
            <w:tcBorders>
              <w:top w:val="single" w:sz="4" w:space="0" w:color="auto"/>
              <w:left w:val="single" w:sz="4" w:space="0" w:color="auto"/>
              <w:bottom w:val="single" w:sz="4" w:space="0" w:color="auto"/>
              <w:right w:val="single" w:sz="4" w:space="0" w:color="auto"/>
            </w:tcBorders>
          </w:tcPr>
          <w:p w14:paraId="7144BFDF" w14:textId="77777777" w:rsidR="0018559A" w:rsidRPr="0018559A" w:rsidRDefault="0018559A" w:rsidP="0018559A">
            <w:pPr>
              <w:rPr>
                <w:rFonts w:cstheme="minorHAnsi"/>
              </w:rPr>
            </w:pPr>
            <w:r w:rsidRPr="0018559A">
              <w:rPr>
                <w:rFonts w:cstheme="minorHAnsi"/>
                <w:b/>
                <w:bCs/>
              </w:rPr>
              <w:t xml:space="preserve">Learning Outcomes </w:t>
            </w:r>
          </w:p>
          <w:p w14:paraId="7581C598" w14:textId="77777777" w:rsidR="0018559A" w:rsidRPr="0018559A" w:rsidRDefault="0018559A" w:rsidP="0018559A">
            <w:pPr>
              <w:rPr>
                <w:rFonts w:cstheme="minorHAnsi"/>
              </w:rPr>
            </w:pPr>
            <w:r w:rsidRPr="0018559A">
              <w:rPr>
                <w:rFonts w:cstheme="minorHAnsi"/>
              </w:rPr>
              <w:t xml:space="preserve">On successful completion of this course, students will (be able to): </w:t>
            </w:r>
          </w:p>
          <w:p w14:paraId="0E865487" w14:textId="77777777" w:rsidR="0018559A" w:rsidRPr="0018559A" w:rsidRDefault="0018559A" w:rsidP="0018559A">
            <w:pPr>
              <w:rPr>
                <w:rFonts w:cstheme="minorHAnsi"/>
              </w:rPr>
            </w:pPr>
            <w:r w:rsidRPr="0018559A">
              <w:rPr>
                <w:rFonts w:cstheme="minorHAnsi"/>
              </w:rPr>
              <w:t xml:space="preserve">1. critically evaluate a number of different design processes. </w:t>
            </w:r>
          </w:p>
          <w:p w14:paraId="52657FB5" w14:textId="2415F3AC" w:rsidR="0018559A" w:rsidRPr="0018559A" w:rsidRDefault="0018559A" w:rsidP="0018559A">
            <w:pPr>
              <w:rPr>
                <w:rFonts w:cstheme="minorHAnsi"/>
              </w:rPr>
            </w:pPr>
            <w:r w:rsidRPr="0018559A">
              <w:rPr>
                <w:rFonts w:cstheme="minorHAnsi"/>
              </w:rPr>
              <w:t xml:space="preserve">2. apply an appropriate design method to generate ideas and evaluate design concepts. </w:t>
            </w:r>
          </w:p>
          <w:p w14:paraId="1AE1133B" w14:textId="77777777" w:rsidR="0018559A" w:rsidRPr="0018559A" w:rsidRDefault="0018559A" w:rsidP="0018559A">
            <w:pPr>
              <w:rPr>
                <w:rFonts w:cstheme="minorHAnsi"/>
              </w:rPr>
            </w:pPr>
            <w:r w:rsidRPr="0018559A">
              <w:rPr>
                <w:rFonts w:cstheme="minorHAnsi"/>
              </w:rPr>
              <w:t xml:space="preserve">3. implement a design process from beginning to end </w:t>
            </w:r>
          </w:p>
          <w:p w14:paraId="47AB750E" w14:textId="77777777" w:rsidR="0018559A" w:rsidRPr="0018559A" w:rsidRDefault="0018559A" w:rsidP="0018559A">
            <w:pPr>
              <w:rPr>
                <w:rFonts w:cstheme="minorHAnsi"/>
              </w:rPr>
            </w:pPr>
            <w:r w:rsidRPr="0018559A">
              <w:rPr>
                <w:rFonts w:cstheme="minorHAnsi"/>
              </w:rPr>
              <w:t xml:space="preserve">4. apply engineering sciences through learning-by-doing project work </w:t>
            </w:r>
          </w:p>
          <w:p w14:paraId="17B683E3" w14:textId="77777777" w:rsidR="0018559A" w:rsidRPr="0018559A" w:rsidRDefault="0018559A" w:rsidP="0018559A">
            <w:pPr>
              <w:rPr>
                <w:rFonts w:cstheme="minorHAnsi"/>
              </w:rPr>
            </w:pPr>
            <w:r w:rsidRPr="0018559A">
              <w:rPr>
                <w:rFonts w:cstheme="minorHAnsi"/>
              </w:rPr>
              <w:t xml:space="preserve">5. communicate and work effectively in teams </w:t>
            </w:r>
          </w:p>
          <w:p w14:paraId="4FEE6139" w14:textId="77777777" w:rsidR="0018559A" w:rsidRPr="0018559A" w:rsidRDefault="0018559A" w:rsidP="0018559A">
            <w:pPr>
              <w:rPr>
                <w:rFonts w:cstheme="minorHAnsi"/>
              </w:rPr>
            </w:pPr>
            <w:r w:rsidRPr="0018559A">
              <w:rPr>
                <w:rFonts w:cstheme="minorHAnsi"/>
              </w:rPr>
              <w:t xml:space="preserve">6. present their work orally through public presentation using posters and slide shows </w:t>
            </w:r>
          </w:p>
          <w:p w14:paraId="0714A5AC" w14:textId="77777777" w:rsidR="0018559A" w:rsidRPr="0018559A" w:rsidRDefault="0018559A" w:rsidP="0018559A">
            <w:pPr>
              <w:rPr>
                <w:rFonts w:cstheme="minorHAnsi"/>
              </w:rPr>
            </w:pPr>
            <w:r w:rsidRPr="0018559A">
              <w:rPr>
                <w:rFonts w:cstheme="minorHAnsi"/>
              </w:rPr>
              <w:t xml:space="preserve">7. conceive, design, implement and operate tangible prototypes </w:t>
            </w:r>
          </w:p>
          <w:p w14:paraId="3E24626B" w14:textId="77777777" w:rsidR="0018559A" w:rsidRPr="0018559A" w:rsidRDefault="0018559A" w:rsidP="0018559A">
            <w:pPr>
              <w:rPr>
                <w:rFonts w:cstheme="minorHAnsi"/>
              </w:rPr>
            </w:pPr>
            <w:r w:rsidRPr="0018559A">
              <w:rPr>
                <w:rFonts w:cstheme="minorHAnsi"/>
              </w:rPr>
              <w:t xml:space="preserve">8. value the differences in peoples’ abilities through the participation in a Universal Design/User Centred Design project working with community groups. </w:t>
            </w:r>
          </w:p>
          <w:p w14:paraId="14E07FC9" w14:textId="77777777" w:rsidR="0018559A" w:rsidRPr="0018559A" w:rsidRDefault="0018559A" w:rsidP="0018559A">
            <w:pPr>
              <w:rPr>
                <w:rFonts w:cstheme="minorHAnsi"/>
              </w:rPr>
            </w:pPr>
            <w:r w:rsidRPr="0018559A">
              <w:rPr>
                <w:rFonts w:cstheme="minorHAnsi"/>
              </w:rPr>
              <w:t xml:space="preserve">9. promote social responsibility and civic awareness </w:t>
            </w:r>
          </w:p>
          <w:p w14:paraId="0392FE7E" w14:textId="77777777" w:rsidR="0018559A" w:rsidRPr="0018559A" w:rsidRDefault="0018559A" w:rsidP="0018559A">
            <w:pPr>
              <w:rPr>
                <w:rFonts w:cstheme="minorHAnsi"/>
              </w:rPr>
            </w:pPr>
            <w:r w:rsidRPr="0018559A">
              <w:rPr>
                <w:rFonts w:cstheme="minorHAnsi"/>
              </w:rPr>
              <w:t xml:space="preserve">10. optimally design machine components for use in design </w:t>
            </w:r>
          </w:p>
          <w:p w14:paraId="3939CB4A" w14:textId="77777777" w:rsidR="0018559A" w:rsidRPr="0018559A" w:rsidRDefault="0018559A" w:rsidP="0018559A">
            <w:pPr>
              <w:rPr>
                <w:rFonts w:cstheme="minorHAnsi"/>
              </w:rPr>
            </w:pPr>
            <w:r w:rsidRPr="0018559A">
              <w:rPr>
                <w:rFonts w:cstheme="minorHAnsi"/>
              </w:rPr>
              <w:t xml:space="preserve">11. correctly select standard components for use in design </w:t>
            </w:r>
          </w:p>
          <w:p w14:paraId="7938B377" w14:textId="77777777" w:rsidR="0018559A" w:rsidRPr="0018559A" w:rsidRDefault="0018559A" w:rsidP="0018559A">
            <w:pPr>
              <w:rPr>
                <w:rFonts w:cstheme="minorHAnsi"/>
              </w:rPr>
            </w:pPr>
            <w:r w:rsidRPr="0018559A">
              <w:rPr>
                <w:rFonts w:cstheme="minorHAnsi"/>
              </w:rPr>
              <w:t xml:space="preserve">12. propose suitable materials for use in design </w:t>
            </w:r>
          </w:p>
          <w:p w14:paraId="0F49D76A" w14:textId="77777777" w:rsidR="0018559A" w:rsidRPr="0018559A" w:rsidRDefault="0018559A" w:rsidP="0018559A">
            <w:pPr>
              <w:rPr>
                <w:rFonts w:cstheme="minorHAnsi"/>
              </w:rPr>
            </w:pPr>
            <w:r w:rsidRPr="0018559A">
              <w:rPr>
                <w:rFonts w:cstheme="minorHAnsi"/>
              </w:rPr>
              <w:t xml:space="preserve">13. correctly use AutoCAD and CREO Parametric to draw and to solid-model parts and assemblies. </w:t>
            </w:r>
          </w:p>
          <w:p w14:paraId="329BD420" w14:textId="77777777" w:rsidR="0018559A" w:rsidRPr="0018559A" w:rsidRDefault="0018559A" w:rsidP="0018559A">
            <w:pPr>
              <w:rPr>
                <w:rFonts w:cstheme="minorHAnsi"/>
              </w:rPr>
            </w:pPr>
          </w:p>
          <w:p w14:paraId="1F25A8F1" w14:textId="77777777" w:rsidR="0018559A" w:rsidRPr="0018559A" w:rsidRDefault="0018559A" w:rsidP="0018559A">
            <w:pPr>
              <w:rPr>
                <w:rFonts w:cstheme="minorHAnsi"/>
              </w:rPr>
            </w:pPr>
            <w:r w:rsidRPr="0018559A">
              <w:rPr>
                <w:rFonts w:cstheme="minorHAnsi"/>
              </w:rPr>
              <w:t xml:space="preserve">14. understand the benefits of Computer Aided Manufacture (CAM) and to output code from CAD to a milling machine to machine a part. </w:t>
            </w:r>
          </w:p>
          <w:p w14:paraId="02CEECD0" w14:textId="77777777" w:rsidR="0018559A" w:rsidRPr="0018559A" w:rsidRDefault="0018559A" w:rsidP="0018559A">
            <w:pPr>
              <w:rPr>
                <w:rFonts w:cstheme="minorHAnsi"/>
              </w:rPr>
            </w:pPr>
            <w:r w:rsidRPr="0018559A">
              <w:rPr>
                <w:rFonts w:cstheme="minorHAnsi"/>
              </w:rPr>
              <w:t xml:space="preserve">15. develop code in LabView to acquire and process data, and to output signals to actuate components for some useful purpose. </w:t>
            </w:r>
          </w:p>
          <w:p w14:paraId="575F9112" w14:textId="77777777" w:rsidR="0018559A" w:rsidRPr="0018559A" w:rsidRDefault="0018559A" w:rsidP="0018559A">
            <w:pPr>
              <w:rPr>
                <w:rFonts w:cstheme="minorHAnsi"/>
              </w:rPr>
            </w:pPr>
            <w:r w:rsidRPr="0018559A">
              <w:rPr>
                <w:rFonts w:cstheme="minorHAnsi"/>
              </w:rPr>
              <w:t xml:space="preserve">16. have insightful hands-on knowledge and understanding of the workings of internal combustion engines. </w:t>
            </w:r>
          </w:p>
          <w:p w14:paraId="084D5183" w14:textId="77777777" w:rsidR="0018559A" w:rsidRPr="0018559A" w:rsidRDefault="0018559A" w:rsidP="0018559A">
            <w:pPr>
              <w:rPr>
                <w:rFonts w:cstheme="minorHAnsi"/>
              </w:rPr>
            </w:pPr>
            <w:r w:rsidRPr="0018559A">
              <w:rPr>
                <w:rFonts w:cstheme="minorHAnsi"/>
              </w:rPr>
              <w:t xml:space="preserve">17. Understand and describe both the advantages and the limitations of FEA as an engineering modelling tool in design, process investigation or defect analysis. </w:t>
            </w:r>
          </w:p>
          <w:p w14:paraId="193CBD46" w14:textId="77777777" w:rsidR="0018559A" w:rsidRPr="0018559A" w:rsidRDefault="0018559A" w:rsidP="0018559A">
            <w:pPr>
              <w:rPr>
                <w:rFonts w:cstheme="minorHAnsi"/>
              </w:rPr>
            </w:pPr>
            <w:r w:rsidRPr="0018559A">
              <w:rPr>
                <w:rFonts w:cstheme="minorHAnsi"/>
              </w:rPr>
              <w:t xml:space="preserve">18. Understand the concept of element stiffness and be able to derive the underlying mathematical expressions used in the development of an element stiffness matrix </w:t>
            </w:r>
          </w:p>
          <w:p w14:paraId="4A35E020" w14:textId="77777777" w:rsidR="0018559A" w:rsidRPr="0018559A" w:rsidRDefault="0018559A" w:rsidP="0018559A">
            <w:pPr>
              <w:rPr>
                <w:rFonts w:cstheme="minorHAnsi"/>
              </w:rPr>
            </w:pPr>
            <w:r w:rsidRPr="0018559A">
              <w:rPr>
                <w:rFonts w:cstheme="minorHAnsi"/>
              </w:rPr>
              <w:t xml:space="preserve">19. Set up and model simple 2D structural and thermal problems using two commercial software packages and incorporating realistic loading and constraint conditions. </w:t>
            </w:r>
          </w:p>
          <w:p w14:paraId="1B1A1D7A" w14:textId="08C5CCF6" w:rsidR="0018559A" w:rsidRPr="0018559A" w:rsidRDefault="0018559A" w:rsidP="0018559A">
            <w:pPr>
              <w:rPr>
                <w:rFonts w:cstheme="minorHAnsi"/>
              </w:rPr>
            </w:pPr>
            <w:r w:rsidRPr="0018559A">
              <w:rPr>
                <w:rFonts w:cstheme="minorHAnsi"/>
              </w:rPr>
              <w:t xml:space="preserve">20. Interpret the results of the analysis, e.g. stress/thermal distributions, but more importantly recognise errors in the results arising from incorrect or insufficient input data or the setup of the FEA model. </w:t>
            </w:r>
          </w:p>
          <w:p w14:paraId="53E99B80" w14:textId="77777777" w:rsidR="0018559A" w:rsidRPr="0018559A" w:rsidRDefault="0018559A" w:rsidP="0018559A">
            <w:pPr>
              <w:rPr>
                <w:rFonts w:cstheme="minorHAnsi"/>
              </w:rPr>
            </w:pPr>
            <w:r w:rsidRPr="0018559A">
              <w:rPr>
                <w:rFonts w:cstheme="minorHAnsi"/>
              </w:rPr>
              <w:t xml:space="preserve">21. apply and use a commercial FEA software package to an open ended design problem </w:t>
            </w:r>
          </w:p>
          <w:p w14:paraId="43FF5098" w14:textId="77777777" w:rsidR="0018559A" w:rsidRPr="0018559A" w:rsidRDefault="0018559A" w:rsidP="0018559A">
            <w:pPr>
              <w:rPr>
                <w:rFonts w:cstheme="minorHAnsi"/>
              </w:rPr>
            </w:pPr>
            <w:r w:rsidRPr="0018559A">
              <w:rPr>
                <w:rFonts w:cstheme="minorHAnsi"/>
              </w:rPr>
              <w:t xml:space="preserve">22. use a selection of mechanical workshop equipment such as: milling machines (manual and CNC); lathes; welding equipment; bench press etc. </w:t>
            </w:r>
          </w:p>
          <w:p w14:paraId="34C3C1EB" w14:textId="77777777" w:rsidR="0018559A" w:rsidRPr="0018559A" w:rsidRDefault="0018559A" w:rsidP="0018559A">
            <w:pPr>
              <w:rPr>
                <w:rFonts w:cstheme="minorHAnsi"/>
              </w:rPr>
            </w:pPr>
            <w:r w:rsidRPr="0018559A">
              <w:rPr>
                <w:rFonts w:cstheme="minorHAnsi"/>
              </w:rPr>
              <w:t xml:space="preserve">23. discuss critically the benefits of different mechanical workshop processes </w:t>
            </w:r>
          </w:p>
          <w:p w14:paraId="54F32106" w14:textId="77777777" w:rsidR="0018559A" w:rsidRPr="0018559A" w:rsidRDefault="0018559A" w:rsidP="0018559A">
            <w:pPr>
              <w:rPr>
                <w:rFonts w:cstheme="minorHAnsi"/>
              </w:rPr>
            </w:pPr>
            <w:r w:rsidRPr="0018559A">
              <w:rPr>
                <w:rFonts w:cstheme="minorHAnsi"/>
              </w:rPr>
              <w:lastRenderedPageBreak/>
              <w:t xml:space="preserve">24. understand industry structures and to interact directly with technical professionals and members of engineering industry </w:t>
            </w:r>
          </w:p>
          <w:p w14:paraId="0E46B60E" w14:textId="77777777" w:rsidR="0018559A" w:rsidRPr="0018559A" w:rsidRDefault="0018559A" w:rsidP="0018559A">
            <w:pPr>
              <w:rPr>
                <w:rFonts w:cstheme="minorHAnsi"/>
              </w:rPr>
            </w:pPr>
            <w:r w:rsidRPr="0018559A">
              <w:rPr>
                <w:rFonts w:cstheme="minorHAnsi"/>
              </w:rPr>
              <w:t xml:space="preserve">25. write professional technical reports documenting design work </w:t>
            </w:r>
          </w:p>
          <w:p w14:paraId="032C07AB" w14:textId="75CB00AE" w:rsidR="005B42FF" w:rsidRPr="00857F2B" w:rsidRDefault="005B42FF" w:rsidP="00D85063">
            <w:pPr>
              <w:rPr>
                <w:rFonts w:cstheme="minorHAnsi"/>
              </w:rPr>
            </w:pPr>
          </w:p>
        </w:tc>
      </w:tr>
      <w:tr w:rsidR="005B42FF" w14:paraId="09D2DCF2" w14:textId="77777777" w:rsidTr="005E4018">
        <w:trPr>
          <w:trHeight w:val="2398"/>
        </w:trPr>
        <w:tc>
          <w:tcPr>
            <w:tcW w:w="3397" w:type="dxa"/>
            <w:tcBorders>
              <w:top w:val="single" w:sz="4" w:space="0" w:color="auto"/>
              <w:left w:val="single" w:sz="4" w:space="0" w:color="auto"/>
              <w:bottom w:val="single" w:sz="4" w:space="0" w:color="auto"/>
              <w:right w:val="single" w:sz="4" w:space="0" w:color="auto"/>
            </w:tcBorders>
          </w:tcPr>
          <w:p w14:paraId="5DE81EBB" w14:textId="6C6F3BE6" w:rsidR="005B42FF" w:rsidRPr="005B42FF" w:rsidRDefault="005B42FF" w:rsidP="00D85063">
            <w:pPr>
              <w:rPr>
                <w:b/>
                <w:sz w:val="24"/>
              </w:rPr>
            </w:pPr>
            <w:r w:rsidRPr="005B42FF">
              <w:rPr>
                <w:b/>
                <w:bCs/>
                <w:sz w:val="24"/>
                <w:lang w:val="en-GB"/>
              </w:rPr>
              <w:lastRenderedPageBreak/>
              <w:t xml:space="preserve">Community outcomes </w:t>
            </w:r>
            <w:r w:rsidR="00361FC6">
              <w:rPr>
                <w:b/>
                <w:bCs/>
                <w:sz w:val="24"/>
                <w:lang w:val="en-GB"/>
              </w:rPr>
              <w:t>(</w:t>
            </w:r>
            <w:r w:rsidRPr="005B42FF">
              <w:rPr>
                <w:b/>
                <w:sz w:val="24"/>
              </w:rPr>
              <w:t>Aims and Objectives</w:t>
            </w:r>
            <w:r w:rsidR="00361FC6">
              <w:rPr>
                <w:b/>
                <w:sz w:val="24"/>
              </w:rPr>
              <w:t>):</w:t>
            </w:r>
            <w:r w:rsidR="00950C75">
              <w:rPr>
                <w:b/>
                <w:sz w:val="24"/>
              </w:rPr>
              <w:t xml:space="preserve"> 800 word max </w:t>
            </w:r>
          </w:p>
        </w:tc>
        <w:tc>
          <w:tcPr>
            <w:tcW w:w="6096" w:type="dxa"/>
            <w:tcBorders>
              <w:top w:val="single" w:sz="4" w:space="0" w:color="auto"/>
              <w:left w:val="single" w:sz="4" w:space="0" w:color="auto"/>
              <w:bottom w:val="single" w:sz="4" w:space="0" w:color="auto"/>
              <w:right w:val="single" w:sz="4" w:space="0" w:color="auto"/>
            </w:tcBorders>
          </w:tcPr>
          <w:p w14:paraId="36A496D2" w14:textId="7EB785BF" w:rsidR="0093774F" w:rsidRDefault="0093774F" w:rsidP="0093774F">
            <w:pPr>
              <w:spacing w:line="276" w:lineRule="auto"/>
              <w:jc w:val="both"/>
              <w:rPr>
                <w:rFonts w:cs="Calibri"/>
              </w:rPr>
            </w:pPr>
            <w:r>
              <w:rPr>
                <w:rFonts w:cs="Calibri"/>
              </w:rPr>
              <w:t>Using tools from Stanford University’s D-School</w:t>
            </w:r>
            <w:r w:rsidR="00952B96">
              <w:rPr>
                <w:rFonts w:cs="Calibri"/>
              </w:rPr>
              <w:t xml:space="preserve">, </w:t>
            </w:r>
            <w:r>
              <w:rPr>
                <w:rFonts w:cs="Calibri"/>
              </w:rPr>
              <w:t>the students conduct “</w:t>
            </w:r>
            <w:proofErr w:type="spellStart"/>
            <w:r>
              <w:rPr>
                <w:rFonts w:cs="Calibri"/>
              </w:rPr>
              <w:t>Needfinding</w:t>
            </w:r>
            <w:proofErr w:type="spellEnd"/>
            <w:r>
              <w:rPr>
                <w:rFonts w:cs="Calibri"/>
              </w:rPr>
              <w:t>”  with the community including interview</w:t>
            </w:r>
            <w:r w:rsidR="00952B96">
              <w:rPr>
                <w:rFonts w:cs="Calibri"/>
              </w:rPr>
              <w:t>s</w:t>
            </w:r>
            <w:bookmarkStart w:id="0" w:name="_GoBack"/>
            <w:bookmarkEnd w:id="0"/>
            <w:r>
              <w:rPr>
                <w:rFonts w:cs="Calibri"/>
              </w:rPr>
              <w:t xml:space="preserve"> and observance of the users and to investigate difficulties with ADLs related to Cooking, Eating, Managing Medication, Washing Clothes, Transportation, Communication etc with their community partners. The students identify their own project which is to build a working electro-mechanical prototype to address a real need of the community member. Through user-centred design, the students work with the community group/members to project completion. The end results are working prototypes that address the need that has been identified by the partner community. Some examples  from 2017/2018 are:</w:t>
            </w:r>
          </w:p>
          <w:p w14:paraId="44F24448" w14:textId="1D324B56" w:rsidR="0093774F" w:rsidRDefault="0093774F" w:rsidP="0093774F">
            <w:pPr>
              <w:spacing w:line="276" w:lineRule="auto"/>
              <w:jc w:val="both"/>
              <w:rPr>
                <w:rFonts w:cs="Calibri"/>
              </w:rPr>
            </w:pPr>
          </w:p>
          <w:p w14:paraId="2D80D92B" w14:textId="1F860B2B" w:rsidR="0093774F" w:rsidRPr="00DC24D3" w:rsidRDefault="0093774F" w:rsidP="00DC24D3">
            <w:pPr>
              <w:pStyle w:val="ListParagraph"/>
              <w:numPr>
                <w:ilvl w:val="0"/>
                <w:numId w:val="1"/>
              </w:numPr>
              <w:spacing w:line="276" w:lineRule="auto"/>
              <w:jc w:val="both"/>
              <w:rPr>
                <w:rFonts w:cs="Calibri"/>
              </w:rPr>
            </w:pPr>
            <w:r w:rsidRPr="00DC24D3">
              <w:rPr>
                <w:rFonts w:cs="Calibri"/>
              </w:rPr>
              <w:t>Automated panic alarm prototype which connects to pre-programmed numbers and the emergency services.</w:t>
            </w:r>
          </w:p>
          <w:p w14:paraId="74673660" w14:textId="7144696A" w:rsidR="0093774F" w:rsidRPr="00DC24D3" w:rsidRDefault="0093774F" w:rsidP="00DC24D3">
            <w:pPr>
              <w:pStyle w:val="ListParagraph"/>
              <w:numPr>
                <w:ilvl w:val="0"/>
                <w:numId w:val="1"/>
              </w:numPr>
              <w:spacing w:line="276" w:lineRule="auto"/>
              <w:jc w:val="both"/>
              <w:rPr>
                <w:rFonts w:cs="Calibri"/>
              </w:rPr>
            </w:pPr>
            <w:r w:rsidRPr="00DC24D3">
              <w:rPr>
                <w:rFonts w:cs="Calibri"/>
              </w:rPr>
              <w:t xml:space="preserve">A wearable device to protect </w:t>
            </w:r>
            <w:r w:rsidR="00DC24D3" w:rsidRPr="00DC24D3">
              <w:rPr>
                <w:rFonts w:cs="Calibri"/>
              </w:rPr>
              <w:t>an elderly person’s hip in case of falls.</w:t>
            </w:r>
          </w:p>
          <w:p w14:paraId="688CF533" w14:textId="77440EE4" w:rsidR="00DC24D3" w:rsidRPr="00DC24D3" w:rsidRDefault="00DC24D3" w:rsidP="00DC24D3">
            <w:pPr>
              <w:pStyle w:val="ListParagraph"/>
              <w:numPr>
                <w:ilvl w:val="0"/>
                <w:numId w:val="1"/>
              </w:numPr>
              <w:spacing w:line="276" w:lineRule="auto"/>
              <w:jc w:val="both"/>
              <w:rPr>
                <w:rFonts w:cs="Calibri"/>
              </w:rPr>
            </w:pPr>
            <w:r w:rsidRPr="00DC24D3">
              <w:rPr>
                <w:rFonts w:cs="Calibri"/>
              </w:rPr>
              <w:t>A mug that enables those with tremors to enjoy their drinks without spilling and incorporates an LED temperature control.</w:t>
            </w:r>
          </w:p>
          <w:p w14:paraId="7C61E282" w14:textId="523B980D" w:rsidR="0093774F" w:rsidRDefault="0093774F" w:rsidP="0093774F">
            <w:pPr>
              <w:spacing w:line="276" w:lineRule="auto"/>
              <w:jc w:val="both"/>
              <w:rPr>
                <w:rFonts w:cs="Calibri"/>
              </w:rPr>
            </w:pPr>
          </w:p>
          <w:p w14:paraId="53450A41" w14:textId="77777777" w:rsidR="0093774F" w:rsidRDefault="0093774F" w:rsidP="0093774F">
            <w:pPr>
              <w:spacing w:line="276" w:lineRule="auto"/>
              <w:jc w:val="both"/>
              <w:rPr>
                <w:rFonts w:cs="Calibri"/>
              </w:rPr>
            </w:pPr>
          </w:p>
          <w:p w14:paraId="74F61E97" w14:textId="77777777" w:rsidR="00ED3404" w:rsidRDefault="00ED3404" w:rsidP="00D85063">
            <w:pPr>
              <w:rPr>
                <w:rFonts w:cstheme="minorHAnsi"/>
              </w:rPr>
            </w:pPr>
          </w:p>
          <w:p w14:paraId="2CEFE28C" w14:textId="3BAFC20D" w:rsidR="00C35150" w:rsidRPr="00857F2B" w:rsidRDefault="00C35150" w:rsidP="00D85063">
            <w:pPr>
              <w:rPr>
                <w:rFonts w:cstheme="minorHAnsi"/>
              </w:rPr>
            </w:pPr>
          </w:p>
        </w:tc>
      </w:tr>
      <w:tr w:rsidR="005B42FF" w14:paraId="284BDD68" w14:textId="77777777" w:rsidTr="005E4018">
        <w:trPr>
          <w:trHeight w:val="415"/>
        </w:trPr>
        <w:tc>
          <w:tcPr>
            <w:tcW w:w="3397" w:type="dxa"/>
            <w:tcBorders>
              <w:top w:val="single" w:sz="4" w:space="0" w:color="auto"/>
              <w:left w:val="single" w:sz="4" w:space="0" w:color="auto"/>
              <w:bottom w:val="single" w:sz="4" w:space="0" w:color="auto"/>
              <w:right w:val="single" w:sz="4" w:space="0" w:color="auto"/>
            </w:tcBorders>
          </w:tcPr>
          <w:p w14:paraId="46E3E850" w14:textId="2E87A6B5" w:rsidR="005B42FF" w:rsidRPr="005B42FF" w:rsidRDefault="005B42FF" w:rsidP="00D85063">
            <w:pPr>
              <w:rPr>
                <w:b/>
                <w:bCs/>
                <w:sz w:val="24"/>
              </w:rPr>
            </w:pPr>
            <w:r w:rsidRPr="005B42FF">
              <w:rPr>
                <w:b/>
                <w:sz w:val="24"/>
              </w:rPr>
              <w:t xml:space="preserve">Academic </w:t>
            </w:r>
            <w:r w:rsidR="005E4018">
              <w:rPr>
                <w:b/>
                <w:sz w:val="24"/>
              </w:rPr>
              <w:t>c</w:t>
            </w:r>
            <w:r w:rsidRPr="005B42FF">
              <w:rPr>
                <w:b/>
                <w:sz w:val="24"/>
              </w:rPr>
              <w:t>ontact</w:t>
            </w:r>
            <w:r w:rsidR="005E4018">
              <w:rPr>
                <w:b/>
                <w:sz w:val="24"/>
              </w:rPr>
              <w:t xml:space="preserve"> for further information</w:t>
            </w:r>
            <w:r w:rsidRPr="005B42FF">
              <w:rPr>
                <w:b/>
                <w:sz w:val="24"/>
              </w:rPr>
              <w:t>:</w:t>
            </w:r>
          </w:p>
        </w:tc>
        <w:tc>
          <w:tcPr>
            <w:tcW w:w="6096" w:type="dxa"/>
            <w:tcBorders>
              <w:top w:val="single" w:sz="4" w:space="0" w:color="auto"/>
              <w:left w:val="single" w:sz="4" w:space="0" w:color="auto"/>
              <w:bottom w:val="single" w:sz="4" w:space="0" w:color="auto"/>
              <w:right w:val="single" w:sz="4" w:space="0" w:color="auto"/>
            </w:tcBorders>
          </w:tcPr>
          <w:p w14:paraId="25D20F32" w14:textId="2BBC9F15" w:rsidR="0093774F" w:rsidRPr="0093774F" w:rsidRDefault="0093774F" w:rsidP="0093774F">
            <w:pPr>
              <w:rPr>
                <w:rFonts w:eastAsia="Times New Roman" w:cstheme="minorHAnsi"/>
                <w:bCs/>
                <w:lang w:eastAsia="en-IE"/>
              </w:rPr>
            </w:pPr>
            <w:r w:rsidRPr="0093774F">
              <w:rPr>
                <w:rFonts w:eastAsia="Times New Roman" w:cstheme="minorHAnsi"/>
                <w:bCs/>
                <w:lang w:eastAsia="en-IE"/>
              </w:rPr>
              <w:t xml:space="preserve">Prof. Gareth J. Bennett (gareth.bennett@tcd.ie) </w:t>
            </w:r>
          </w:p>
          <w:p w14:paraId="30542CEA" w14:textId="01E155CD" w:rsidR="0093774F" w:rsidRPr="005E4018" w:rsidRDefault="0093774F" w:rsidP="0093774F">
            <w:pPr>
              <w:rPr>
                <w:rFonts w:eastAsia="Times New Roman" w:cstheme="minorHAnsi"/>
                <w:bCs/>
                <w:lang w:eastAsia="en-IE"/>
              </w:rPr>
            </w:pPr>
          </w:p>
        </w:tc>
      </w:tr>
      <w:tr w:rsidR="000C5577" w14:paraId="290CC625" w14:textId="77777777" w:rsidTr="005E4018">
        <w:trPr>
          <w:trHeight w:val="415"/>
        </w:trPr>
        <w:tc>
          <w:tcPr>
            <w:tcW w:w="3397" w:type="dxa"/>
            <w:tcBorders>
              <w:top w:val="single" w:sz="4" w:space="0" w:color="auto"/>
              <w:left w:val="single" w:sz="4" w:space="0" w:color="auto"/>
              <w:bottom w:val="single" w:sz="4" w:space="0" w:color="auto"/>
              <w:right w:val="single" w:sz="4" w:space="0" w:color="auto"/>
            </w:tcBorders>
          </w:tcPr>
          <w:p w14:paraId="1D610D6C" w14:textId="2E8DF7F7" w:rsidR="000C5577" w:rsidRDefault="000C5577" w:rsidP="00D85063">
            <w:pPr>
              <w:rPr>
                <w:b/>
                <w:sz w:val="24"/>
              </w:rPr>
            </w:pPr>
            <w:r>
              <w:rPr>
                <w:b/>
                <w:sz w:val="24"/>
              </w:rPr>
              <w:t>High quality photo/ logo from project:</w:t>
            </w:r>
          </w:p>
        </w:tc>
        <w:tc>
          <w:tcPr>
            <w:tcW w:w="6096" w:type="dxa"/>
            <w:tcBorders>
              <w:top w:val="single" w:sz="4" w:space="0" w:color="auto"/>
              <w:left w:val="single" w:sz="4" w:space="0" w:color="auto"/>
              <w:bottom w:val="single" w:sz="4" w:space="0" w:color="auto"/>
              <w:right w:val="single" w:sz="4" w:space="0" w:color="auto"/>
            </w:tcBorders>
          </w:tcPr>
          <w:p w14:paraId="2F4C9C16" w14:textId="7E2FBF2B" w:rsidR="000C5577" w:rsidRDefault="000C5577" w:rsidP="00D85063"/>
        </w:tc>
      </w:tr>
    </w:tbl>
    <w:p w14:paraId="72A9A884" w14:textId="36C611D0" w:rsidR="00C2277F" w:rsidRDefault="00952B96"/>
    <w:p w14:paraId="67A6364C" w14:textId="77777777" w:rsidR="009377CD" w:rsidRDefault="009377CD"/>
    <w:sectPr w:rsidR="00937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4EF8"/>
    <w:multiLevelType w:val="hybridMultilevel"/>
    <w:tmpl w:val="7EA4D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FF"/>
    <w:rsid w:val="000C5577"/>
    <w:rsid w:val="0018559A"/>
    <w:rsid w:val="001C48DF"/>
    <w:rsid w:val="00302466"/>
    <w:rsid w:val="00311E59"/>
    <w:rsid w:val="00361FC6"/>
    <w:rsid w:val="0046632F"/>
    <w:rsid w:val="004818F6"/>
    <w:rsid w:val="004D7888"/>
    <w:rsid w:val="004F353A"/>
    <w:rsid w:val="00545BEB"/>
    <w:rsid w:val="005B42FF"/>
    <w:rsid w:val="005E4018"/>
    <w:rsid w:val="00611694"/>
    <w:rsid w:val="00665F7D"/>
    <w:rsid w:val="00741B94"/>
    <w:rsid w:val="007A7278"/>
    <w:rsid w:val="00857F2B"/>
    <w:rsid w:val="00866DC2"/>
    <w:rsid w:val="008E3955"/>
    <w:rsid w:val="0093774F"/>
    <w:rsid w:val="009377CD"/>
    <w:rsid w:val="00950C75"/>
    <w:rsid w:val="00952B96"/>
    <w:rsid w:val="00A02FC9"/>
    <w:rsid w:val="00B062BB"/>
    <w:rsid w:val="00C35150"/>
    <w:rsid w:val="00D3453A"/>
    <w:rsid w:val="00DC24D3"/>
    <w:rsid w:val="00EA0353"/>
    <w:rsid w:val="00ED1DAC"/>
    <w:rsid w:val="00ED3404"/>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A8D4"/>
  <w15:chartTrackingRefBased/>
  <w15:docId w15:val="{19C07C3A-E910-480A-A9DC-693E3FE3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150"/>
    <w:rPr>
      <w:color w:val="0000FF"/>
      <w:u w:val="single"/>
    </w:rPr>
  </w:style>
  <w:style w:type="character" w:styleId="UnresolvedMention">
    <w:name w:val="Unresolved Mention"/>
    <w:basedOn w:val="DefaultParagraphFont"/>
    <w:uiPriority w:val="99"/>
    <w:semiHidden/>
    <w:unhideWhenUsed/>
    <w:rsid w:val="005E4018"/>
    <w:rPr>
      <w:color w:val="605E5C"/>
      <w:shd w:val="clear" w:color="auto" w:fill="E1DFDD"/>
    </w:rPr>
  </w:style>
  <w:style w:type="paragraph" w:styleId="ListParagraph">
    <w:name w:val="List Paragraph"/>
    <w:basedOn w:val="Normal"/>
    <w:uiPriority w:val="34"/>
    <w:qFormat/>
    <w:rsid w:val="00DC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5854">
      <w:bodyDiv w:val="1"/>
      <w:marLeft w:val="0"/>
      <w:marRight w:val="0"/>
      <w:marTop w:val="0"/>
      <w:marBottom w:val="0"/>
      <w:divBdr>
        <w:top w:val="none" w:sz="0" w:space="0" w:color="auto"/>
        <w:left w:val="none" w:sz="0" w:space="0" w:color="auto"/>
        <w:bottom w:val="none" w:sz="0" w:space="0" w:color="auto"/>
        <w:right w:val="none" w:sz="0" w:space="0" w:color="auto"/>
      </w:divBdr>
      <w:divsChild>
        <w:div w:id="1193222341">
          <w:marLeft w:val="0"/>
          <w:marRight w:val="0"/>
          <w:marTop w:val="0"/>
          <w:marBottom w:val="0"/>
          <w:divBdr>
            <w:top w:val="none" w:sz="0" w:space="0" w:color="auto"/>
            <w:left w:val="none" w:sz="0" w:space="0" w:color="auto"/>
            <w:bottom w:val="none" w:sz="0" w:space="0" w:color="auto"/>
            <w:right w:val="none" w:sz="0" w:space="0" w:color="auto"/>
          </w:divBdr>
          <w:divsChild>
            <w:div w:id="443693572">
              <w:marLeft w:val="0"/>
              <w:marRight w:val="0"/>
              <w:marTop w:val="0"/>
              <w:marBottom w:val="0"/>
              <w:divBdr>
                <w:top w:val="none" w:sz="0" w:space="0" w:color="auto"/>
                <w:left w:val="none" w:sz="0" w:space="0" w:color="auto"/>
                <w:bottom w:val="none" w:sz="0" w:space="0" w:color="auto"/>
                <w:right w:val="none" w:sz="0" w:space="0" w:color="auto"/>
              </w:divBdr>
            </w:div>
          </w:divsChild>
        </w:div>
        <w:div w:id="804279315">
          <w:marLeft w:val="0"/>
          <w:marRight w:val="0"/>
          <w:marTop w:val="0"/>
          <w:marBottom w:val="0"/>
          <w:divBdr>
            <w:top w:val="none" w:sz="0" w:space="0" w:color="auto"/>
            <w:left w:val="none" w:sz="0" w:space="0" w:color="auto"/>
            <w:bottom w:val="none" w:sz="0" w:space="0" w:color="auto"/>
            <w:right w:val="none" w:sz="0" w:space="0" w:color="auto"/>
          </w:divBdr>
        </w:div>
        <w:div w:id="1102459918">
          <w:marLeft w:val="0"/>
          <w:marRight w:val="0"/>
          <w:marTop w:val="0"/>
          <w:marBottom w:val="0"/>
          <w:divBdr>
            <w:top w:val="none" w:sz="0" w:space="0" w:color="auto"/>
            <w:left w:val="none" w:sz="0" w:space="0" w:color="auto"/>
            <w:bottom w:val="none" w:sz="0" w:space="0" w:color="auto"/>
            <w:right w:val="none" w:sz="0" w:space="0" w:color="auto"/>
          </w:divBdr>
          <w:divsChild>
            <w:div w:id="19356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2556">
      <w:bodyDiv w:val="1"/>
      <w:marLeft w:val="0"/>
      <w:marRight w:val="0"/>
      <w:marTop w:val="0"/>
      <w:marBottom w:val="0"/>
      <w:divBdr>
        <w:top w:val="none" w:sz="0" w:space="0" w:color="auto"/>
        <w:left w:val="none" w:sz="0" w:space="0" w:color="auto"/>
        <w:bottom w:val="none" w:sz="0" w:space="0" w:color="auto"/>
        <w:right w:val="none" w:sz="0" w:space="0" w:color="auto"/>
      </w:divBdr>
    </w:div>
    <w:div w:id="1633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Kavanagh</dc:creator>
  <cp:keywords/>
  <dc:description/>
  <cp:lastModifiedBy>Anna Sweeney</cp:lastModifiedBy>
  <cp:revision>4</cp:revision>
  <cp:lastPrinted>2018-08-31T15:04:00Z</cp:lastPrinted>
  <dcterms:created xsi:type="dcterms:W3CDTF">2018-09-07T16:11:00Z</dcterms:created>
  <dcterms:modified xsi:type="dcterms:W3CDTF">2018-11-30T12:03:00Z</dcterms:modified>
</cp:coreProperties>
</file>